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0" w:type="dxa"/>
        <w:tblLayout w:type="fixed"/>
        <w:tblCellMar>
          <w:left w:w="70" w:type="dxa"/>
          <w:right w:w="70" w:type="dxa"/>
        </w:tblCellMar>
        <w:tblLook w:val="0000" w:firstRow="0" w:lastRow="0" w:firstColumn="0" w:lastColumn="0" w:noHBand="0" w:noVBand="0"/>
      </w:tblPr>
      <w:tblGrid>
        <w:gridCol w:w="7513"/>
        <w:gridCol w:w="160"/>
        <w:gridCol w:w="2177"/>
      </w:tblGrid>
      <w:tr w:rsidR="00045B93" w:rsidRPr="00482BC7" w:rsidTr="00F47C27">
        <w:trPr>
          <w:cantSplit/>
          <w:trHeight w:val="249"/>
        </w:trPr>
        <w:tc>
          <w:tcPr>
            <w:tcW w:w="7513" w:type="dxa"/>
            <w:vAlign w:val="center"/>
          </w:tcPr>
          <w:p w:rsidR="00045B93" w:rsidRPr="0089022A" w:rsidRDefault="00FF7DB8" w:rsidP="004C5FA1">
            <w:pPr>
              <w:jc w:val="right"/>
              <w:rPr>
                <w:rFonts w:ascii="Arial" w:hAnsi="Arial" w:cs="Arial"/>
                <w:szCs w:val="24"/>
              </w:rPr>
            </w:pPr>
            <w:r>
              <w:rPr>
                <w:rFonts w:ascii="Arial" w:hAnsi="Arial" w:cs="Arial"/>
                <w:szCs w:val="24"/>
              </w:rPr>
              <w:t>19RGK1485</w:t>
            </w:r>
          </w:p>
        </w:tc>
        <w:tc>
          <w:tcPr>
            <w:tcW w:w="160" w:type="dxa"/>
            <w:vMerge w:val="restart"/>
            <w:tcBorders>
              <w:left w:val="nil"/>
              <w:right w:val="single" w:sz="4" w:space="0" w:color="000000" w:themeColor="text1"/>
            </w:tcBorders>
          </w:tcPr>
          <w:p w:rsidR="00045B93" w:rsidRPr="00130027" w:rsidRDefault="00045B93" w:rsidP="00401293">
            <w:pPr>
              <w:jc w:val="center"/>
              <w:rPr>
                <w:rFonts w:ascii="Arial" w:hAnsi="Arial" w:cs="Arial"/>
                <w:b/>
                <w:sz w:val="16"/>
                <w:szCs w:val="16"/>
              </w:rPr>
            </w:pPr>
          </w:p>
        </w:tc>
        <w:tc>
          <w:tcPr>
            <w:tcW w:w="2177" w:type="dxa"/>
            <w:vMerge w:val="restart"/>
            <w:tcBorders>
              <w:left w:val="single" w:sz="4" w:space="0" w:color="000000" w:themeColor="text1"/>
            </w:tcBorders>
          </w:tcPr>
          <w:p w:rsidR="00045B93" w:rsidRPr="00130027" w:rsidRDefault="00045B93" w:rsidP="00401293">
            <w:pPr>
              <w:jc w:val="center"/>
              <w:rPr>
                <w:rFonts w:ascii="Arial" w:hAnsi="Arial" w:cs="Arial"/>
                <w:b/>
                <w:sz w:val="16"/>
                <w:szCs w:val="16"/>
              </w:rPr>
            </w:pPr>
          </w:p>
        </w:tc>
      </w:tr>
      <w:tr w:rsidR="00045B93" w:rsidRPr="00482BC7" w:rsidTr="00F47C27">
        <w:trPr>
          <w:cantSplit/>
          <w:trHeight w:val="249"/>
        </w:trPr>
        <w:tc>
          <w:tcPr>
            <w:tcW w:w="7513" w:type="dxa"/>
            <w:vAlign w:val="center"/>
          </w:tcPr>
          <w:p w:rsidR="00045B93" w:rsidRPr="0089022A" w:rsidRDefault="00045B93" w:rsidP="0089022A">
            <w:pPr>
              <w:rPr>
                <w:rFonts w:ascii="Arial" w:hAnsi="Arial" w:cs="Arial"/>
                <w:szCs w:val="24"/>
              </w:rPr>
            </w:pPr>
            <w:bookmarkStart w:id="0" w:name="bm_Datum_1"/>
            <w:bookmarkEnd w:id="0"/>
          </w:p>
        </w:tc>
        <w:tc>
          <w:tcPr>
            <w:tcW w:w="160" w:type="dxa"/>
            <w:vMerge/>
            <w:tcBorders>
              <w:left w:val="nil"/>
              <w:right w:val="single" w:sz="4" w:space="0" w:color="000000" w:themeColor="text1"/>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000000" w:themeColor="text1"/>
            </w:tcBorders>
            <w:vAlign w:val="center"/>
          </w:tcPr>
          <w:p w:rsidR="00045B93" w:rsidRPr="00130027" w:rsidRDefault="00045B93" w:rsidP="00401293">
            <w:pPr>
              <w:jc w:val="right"/>
              <w:rPr>
                <w:rFonts w:ascii="Arial" w:hAnsi="Arial" w:cs="Arial"/>
                <w:b/>
                <w:sz w:val="16"/>
                <w:szCs w:val="16"/>
              </w:rPr>
            </w:pPr>
          </w:p>
        </w:tc>
      </w:tr>
      <w:tr w:rsidR="00045B93" w:rsidRPr="00482BC7" w:rsidTr="00F47C27">
        <w:trPr>
          <w:cantSplit/>
          <w:trHeight w:val="249"/>
        </w:trPr>
        <w:tc>
          <w:tcPr>
            <w:tcW w:w="7513" w:type="dxa"/>
            <w:vAlign w:val="center"/>
          </w:tcPr>
          <w:p w:rsidR="00045B93" w:rsidRPr="004C5FA1" w:rsidRDefault="00045B93" w:rsidP="00725FE4">
            <w:pPr>
              <w:jc w:val="right"/>
              <w:rPr>
                <w:rFonts w:ascii="Arial" w:hAnsi="Arial" w:cs="Arial"/>
                <w:szCs w:val="24"/>
              </w:rPr>
            </w:pPr>
          </w:p>
        </w:tc>
        <w:tc>
          <w:tcPr>
            <w:tcW w:w="160" w:type="dxa"/>
            <w:vMerge/>
            <w:tcBorders>
              <w:right w:val="single" w:sz="4" w:space="0" w:color="000000" w:themeColor="text1"/>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000000" w:themeColor="text1"/>
            </w:tcBorders>
            <w:vAlign w:val="center"/>
          </w:tcPr>
          <w:p w:rsidR="00045B93" w:rsidRPr="00130027" w:rsidRDefault="00045B93" w:rsidP="00401293">
            <w:pPr>
              <w:jc w:val="right"/>
              <w:rPr>
                <w:rFonts w:ascii="Arial" w:hAnsi="Arial" w:cs="Arial"/>
                <w:b/>
                <w:sz w:val="16"/>
                <w:szCs w:val="16"/>
              </w:rPr>
            </w:pPr>
          </w:p>
        </w:tc>
      </w:tr>
      <w:tr w:rsidR="00045B93" w:rsidRPr="00482BC7" w:rsidTr="00F47C27">
        <w:trPr>
          <w:cantSplit/>
          <w:trHeight w:val="249"/>
        </w:trPr>
        <w:tc>
          <w:tcPr>
            <w:tcW w:w="7513" w:type="dxa"/>
            <w:vAlign w:val="center"/>
          </w:tcPr>
          <w:p w:rsidR="00045B93" w:rsidRPr="00FC590E" w:rsidRDefault="00045B93" w:rsidP="00401293">
            <w:pPr>
              <w:jc w:val="right"/>
              <w:rPr>
                <w:rFonts w:ascii="Arial" w:hAnsi="Arial" w:cs="Arial"/>
                <w:sz w:val="16"/>
                <w:szCs w:val="16"/>
              </w:rPr>
            </w:pPr>
            <w:bookmarkStart w:id="1" w:name="bm_BasenhetNamn"/>
            <w:bookmarkStart w:id="2" w:name="bm_Basenhet"/>
            <w:bookmarkEnd w:id="1"/>
            <w:bookmarkEnd w:id="2"/>
          </w:p>
        </w:tc>
        <w:tc>
          <w:tcPr>
            <w:tcW w:w="160" w:type="dxa"/>
            <w:vMerge/>
            <w:tcBorders>
              <w:right w:val="single" w:sz="4" w:space="0" w:color="000000" w:themeColor="text1"/>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000000" w:themeColor="text1"/>
            </w:tcBorders>
            <w:vAlign w:val="center"/>
          </w:tcPr>
          <w:p w:rsidR="00045B93" w:rsidRPr="00130027" w:rsidRDefault="00045B93" w:rsidP="00401293">
            <w:pPr>
              <w:jc w:val="right"/>
              <w:rPr>
                <w:rFonts w:ascii="Arial" w:hAnsi="Arial" w:cs="Arial"/>
                <w:b/>
                <w:sz w:val="16"/>
                <w:szCs w:val="16"/>
              </w:rPr>
            </w:pPr>
          </w:p>
        </w:tc>
      </w:tr>
      <w:tr w:rsidR="00045B93" w:rsidRPr="00482BC7" w:rsidTr="00F47C27">
        <w:trPr>
          <w:cantSplit/>
          <w:trHeight w:val="249"/>
        </w:trPr>
        <w:tc>
          <w:tcPr>
            <w:tcW w:w="7513" w:type="dxa"/>
            <w:vAlign w:val="center"/>
          </w:tcPr>
          <w:p w:rsidR="00045B93" w:rsidRPr="00FC590E" w:rsidRDefault="00045B93" w:rsidP="0089022A">
            <w:pPr>
              <w:rPr>
                <w:rFonts w:ascii="Arial" w:hAnsi="Arial" w:cs="Arial"/>
                <w:sz w:val="16"/>
                <w:szCs w:val="16"/>
              </w:rPr>
            </w:pPr>
            <w:bookmarkStart w:id="3" w:name="bm_HuvudDatum2"/>
            <w:bookmarkStart w:id="4" w:name="bm_Namn"/>
            <w:bookmarkEnd w:id="3"/>
            <w:bookmarkEnd w:id="4"/>
          </w:p>
        </w:tc>
        <w:tc>
          <w:tcPr>
            <w:tcW w:w="160" w:type="dxa"/>
            <w:vMerge/>
            <w:tcBorders>
              <w:right w:val="single" w:sz="4" w:space="0" w:color="000000" w:themeColor="text1"/>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000000" w:themeColor="text1"/>
            </w:tcBorders>
            <w:vAlign w:val="center"/>
          </w:tcPr>
          <w:p w:rsidR="00045B93" w:rsidRPr="00130027" w:rsidRDefault="00045B93" w:rsidP="00401293">
            <w:pPr>
              <w:jc w:val="right"/>
              <w:rPr>
                <w:rFonts w:ascii="Arial" w:hAnsi="Arial" w:cs="Arial"/>
                <w:b/>
                <w:sz w:val="16"/>
                <w:szCs w:val="16"/>
              </w:rPr>
            </w:pPr>
          </w:p>
        </w:tc>
      </w:tr>
      <w:tr w:rsidR="00045B93" w:rsidRPr="00482BC7" w:rsidTr="00F47C27">
        <w:trPr>
          <w:cantSplit/>
          <w:trHeight w:val="311"/>
        </w:trPr>
        <w:tc>
          <w:tcPr>
            <w:tcW w:w="7513" w:type="dxa"/>
            <w:vAlign w:val="center"/>
          </w:tcPr>
          <w:p w:rsidR="00045B93" w:rsidRPr="00130027" w:rsidRDefault="00045B93" w:rsidP="00401293">
            <w:pPr>
              <w:jc w:val="right"/>
              <w:rPr>
                <w:rFonts w:ascii="Arial" w:hAnsi="Arial" w:cs="Arial"/>
                <w:b/>
                <w:sz w:val="16"/>
                <w:szCs w:val="16"/>
              </w:rPr>
            </w:pPr>
          </w:p>
        </w:tc>
        <w:tc>
          <w:tcPr>
            <w:tcW w:w="160" w:type="dxa"/>
            <w:vMerge/>
            <w:tcBorders>
              <w:right w:val="single" w:sz="4" w:space="0" w:color="000000" w:themeColor="text1"/>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000000" w:themeColor="text1"/>
            </w:tcBorders>
            <w:vAlign w:val="center"/>
          </w:tcPr>
          <w:p w:rsidR="00045B93" w:rsidRPr="00130027" w:rsidRDefault="00045B93" w:rsidP="00401293">
            <w:pPr>
              <w:jc w:val="right"/>
              <w:rPr>
                <w:rFonts w:ascii="Arial" w:hAnsi="Arial" w:cs="Arial"/>
                <w:b/>
                <w:sz w:val="16"/>
                <w:szCs w:val="16"/>
              </w:rPr>
            </w:pPr>
          </w:p>
        </w:tc>
      </w:tr>
    </w:tbl>
    <w:p w:rsidR="00921174" w:rsidRPr="00921174" w:rsidRDefault="005805DD" w:rsidP="00921174">
      <w:pPr>
        <w:pStyle w:val="Brdtext"/>
        <w:spacing w:after="0"/>
        <w:rPr>
          <w:rFonts w:cs="Arial"/>
          <w:sz w:val="20"/>
        </w:rPr>
      </w:pPr>
      <w:r>
        <w:rPr>
          <w:noProof/>
        </w:rPr>
        <w:drawing>
          <wp:anchor distT="0" distB="0" distL="114300" distR="114300" simplePos="0" relativeHeight="251660288" behindDoc="0" locked="0" layoutInCell="1" allowOverlap="1" wp14:anchorId="3F16D599" wp14:editId="6A0D348F">
            <wp:simplePos x="0" y="0"/>
            <wp:positionH relativeFrom="rightMargin">
              <wp:posOffset>31115</wp:posOffset>
            </wp:positionH>
            <wp:positionV relativeFrom="paragraph">
              <wp:posOffset>-1089991</wp:posOffset>
            </wp:positionV>
            <wp:extent cx="1047600" cy="1188000"/>
            <wp:effectExtent l="0" t="0" r="63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Kronoberg_logo_Sv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600" cy="1188000"/>
                    </a:xfrm>
                    <a:prstGeom prst="rect">
                      <a:avLst/>
                    </a:prstGeom>
                  </pic:spPr>
                </pic:pic>
              </a:graphicData>
            </a:graphic>
            <wp14:sizeRelH relativeFrom="page">
              <wp14:pctWidth>0</wp14:pctWidth>
            </wp14:sizeRelH>
            <wp14:sizeRelV relativeFrom="page">
              <wp14:pctHeight>0</wp14:pctHeight>
            </wp14:sizeRelV>
          </wp:anchor>
        </w:drawing>
      </w:r>
    </w:p>
    <w:tbl>
      <w:tblPr>
        <w:tblW w:w="10135" w:type="dxa"/>
        <w:tblLayout w:type="fixed"/>
        <w:tblCellMar>
          <w:left w:w="70" w:type="dxa"/>
          <w:right w:w="70" w:type="dxa"/>
        </w:tblCellMar>
        <w:tblLook w:val="0000" w:firstRow="0" w:lastRow="0" w:firstColumn="0" w:lastColumn="0" w:noHBand="0" w:noVBand="0"/>
      </w:tblPr>
      <w:tblGrid>
        <w:gridCol w:w="5032"/>
        <w:gridCol w:w="5103"/>
      </w:tblGrid>
      <w:tr w:rsidR="00921174" w:rsidTr="00401293">
        <w:trPr>
          <w:cantSplit/>
          <w:trHeight w:val="1400"/>
        </w:trPr>
        <w:tc>
          <w:tcPr>
            <w:tcW w:w="5032" w:type="dxa"/>
          </w:tcPr>
          <w:p w:rsidR="00921174" w:rsidRPr="000253F9" w:rsidRDefault="00921174" w:rsidP="00401293">
            <w:pPr>
              <w:pStyle w:val="Brdtext"/>
              <w:spacing w:after="0"/>
            </w:pPr>
            <w:bookmarkStart w:id="5" w:name="bm_Mottagare"/>
            <w:bookmarkEnd w:id="5"/>
          </w:p>
        </w:tc>
        <w:tc>
          <w:tcPr>
            <w:tcW w:w="5103" w:type="dxa"/>
          </w:tcPr>
          <w:p w:rsidR="00921174" w:rsidRDefault="00921174" w:rsidP="00401293">
            <w:pPr>
              <w:pStyle w:val="Brdtext"/>
              <w:spacing w:after="0"/>
            </w:pPr>
          </w:p>
        </w:tc>
      </w:tr>
    </w:tbl>
    <w:p w:rsidR="0089022A" w:rsidRDefault="0089022A" w:rsidP="0089022A">
      <w:pPr>
        <w:pStyle w:val="Huvudrubrik"/>
        <w:ind w:right="-964"/>
      </w:pPr>
      <w:r>
        <w:t>Vårdavtal</w:t>
      </w:r>
      <w:r w:rsidR="00FF7DB8">
        <w:t>-Avtalsmall</w:t>
      </w:r>
      <w:r>
        <w:t xml:space="preserve"> </w:t>
      </w:r>
    </w:p>
    <w:p w:rsidR="0089022A" w:rsidRDefault="0089022A" w:rsidP="0089022A">
      <w:pPr>
        <w:pStyle w:val="Huvudrubrik"/>
        <w:ind w:right="-964"/>
      </w:pPr>
      <w:r>
        <w:t>Vårdval Krono</w:t>
      </w:r>
      <w:r w:rsidR="00CF6AC3">
        <w:t>berg - specialiserad BUP</w:t>
      </w:r>
      <w:r>
        <w:t xml:space="preserve"> i öppen vård </w:t>
      </w:r>
    </w:p>
    <w:p w:rsidR="0089022A" w:rsidRPr="0089051B" w:rsidRDefault="0089022A" w:rsidP="0089022A">
      <w:pPr>
        <w:ind w:right="-964"/>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111"/>
      </w:tblGrid>
      <w:tr w:rsidR="0089022A" w:rsidTr="00A935DB">
        <w:tc>
          <w:tcPr>
            <w:tcW w:w="4219" w:type="dxa"/>
            <w:shd w:val="clear" w:color="auto" w:fill="C0C0C0"/>
          </w:tcPr>
          <w:p w:rsidR="0089022A" w:rsidRPr="00E75434" w:rsidRDefault="0089022A" w:rsidP="00A935DB">
            <w:pPr>
              <w:spacing w:before="120" w:after="60"/>
              <w:ind w:right="-964"/>
              <w:rPr>
                <w:b/>
              </w:rPr>
            </w:pPr>
            <w:r w:rsidRPr="00E75434">
              <w:rPr>
                <w:b/>
              </w:rPr>
              <w:t>Beställare</w:t>
            </w:r>
          </w:p>
        </w:tc>
        <w:tc>
          <w:tcPr>
            <w:tcW w:w="4111" w:type="dxa"/>
            <w:shd w:val="clear" w:color="auto" w:fill="C0C0C0"/>
          </w:tcPr>
          <w:p w:rsidR="0089022A" w:rsidRPr="00E75434" w:rsidRDefault="0089022A" w:rsidP="00A935DB">
            <w:pPr>
              <w:spacing w:before="120" w:after="60"/>
              <w:ind w:right="-964"/>
              <w:rPr>
                <w:b/>
              </w:rPr>
            </w:pPr>
            <w:r>
              <w:rPr>
                <w:b/>
              </w:rPr>
              <w:t xml:space="preserve">Leverantör </w:t>
            </w:r>
          </w:p>
        </w:tc>
      </w:tr>
      <w:tr w:rsidR="0089022A" w:rsidTr="00A935DB">
        <w:tc>
          <w:tcPr>
            <w:tcW w:w="4219" w:type="dxa"/>
            <w:shd w:val="clear" w:color="auto" w:fill="auto"/>
          </w:tcPr>
          <w:p w:rsidR="0089022A" w:rsidRDefault="0089022A" w:rsidP="00A935DB">
            <w:pPr>
              <w:spacing w:before="120" w:after="60"/>
              <w:ind w:right="-964"/>
            </w:pPr>
            <w:r>
              <w:t xml:space="preserve">Region Kronoberg </w:t>
            </w:r>
          </w:p>
          <w:p w:rsidR="0089022A" w:rsidRPr="000403D8" w:rsidRDefault="0089022A" w:rsidP="00A935DB">
            <w:pPr>
              <w:spacing w:before="120" w:after="60"/>
              <w:ind w:right="-964"/>
            </w:pPr>
            <w:r w:rsidRPr="000403D8">
              <w:t xml:space="preserve">Box 1223 </w:t>
            </w:r>
          </w:p>
          <w:p w:rsidR="0089022A" w:rsidRPr="000403D8" w:rsidRDefault="0089022A" w:rsidP="00A935DB">
            <w:pPr>
              <w:spacing w:before="120" w:after="60"/>
              <w:ind w:right="-964"/>
            </w:pPr>
            <w:r w:rsidRPr="000403D8">
              <w:t>351 12 Växjö</w:t>
            </w:r>
          </w:p>
        </w:tc>
        <w:tc>
          <w:tcPr>
            <w:tcW w:w="4111" w:type="dxa"/>
            <w:shd w:val="clear" w:color="auto" w:fill="auto"/>
          </w:tcPr>
          <w:p w:rsidR="0089022A" w:rsidRPr="000403D8" w:rsidRDefault="0089022A" w:rsidP="00A935DB">
            <w:pPr>
              <w:tabs>
                <w:tab w:val="num" w:pos="0"/>
              </w:tabs>
              <w:spacing w:before="120" w:after="60"/>
              <w:ind w:right="-964"/>
            </w:pPr>
            <w:r>
              <w:t xml:space="preserve"> </w:t>
            </w:r>
          </w:p>
        </w:tc>
      </w:tr>
      <w:tr w:rsidR="0089022A" w:rsidRPr="000373D2" w:rsidTr="00A935DB">
        <w:tc>
          <w:tcPr>
            <w:tcW w:w="4219" w:type="dxa"/>
            <w:shd w:val="clear" w:color="auto" w:fill="auto"/>
          </w:tcPr>
          <w:p w:rsidR="0089022A" w:rsidRDefault="0089022A" w:rsidP="00A935DB">
            <w:pPr>
              <w:spacing w:before="120" w:after="60"/>
              <w:ind w:right="-964"/>
            </w:pPr>
            <w:r>
              <w:t xml:space="preserve">Kontaktperson avtalsfrågor: </w:t>
            </w:r>
          </w:p>
          <w:p w:rsidR="0089022A" w:rsidRDefault="00C0381E" w:rsidP="00A935DB">
            <w:pPr>
              <w:spacing w:before="120" w:after="60"/>
              <w:ind w:right="-964"/>
            </w:pPr>
            <w:r>
              <w:t>Johan Wallén</w:t>
            </w:r>
          </w:p>
          <w:p w:rsidR="0089022A" w:rsidRDefault="00C0381E" w:rsidP="00A935DB">
            <w:pPr>
              <w:spacing w:before="120" w:after="60"/>
              <w:ind w:right="-964"/>
            </w:pPr>
            <w:r>
              <w:t>Tfn: 0470-58</w:t>
            </w:r>
            <w:r w:rsidR="00C205BC">
              <w:t xml:space="preserve"> 64 06</w:t>
            </w:r>
            <w:r>
              <w:t xml:space="preserve"> </w:t>
            </w:r>
          </w:p>
          <w:p w:rsidR="0089022A" w:rsidRPr="00E97FF5" w:rsidRDefault="0089022A" w:rsidP="00A935DB">
            <w:pPr>
              <w:spacing w:before="120" w:after="60"/>
              <w:ind w:right="-964"/>
              <w:rPr>
                <w:lang w:val="en-US"/>
              </w:rPr>
            </w:pPr>
            <w:r w:rsidRPr="00E97FF5">
              <w:rPr>
                <w:lang w:val="en-US"/>
              </w:rPr>
              <w:t xml:space="preserve">E-post: </w:t>
            </w:r>
          </w:p>
          <w:p w:rsidR="0089022A" w:rsidRPr="00E97FF5" w:rsidRDefault="00C0381E" w:rsidP="00A935DB">
            <w:pPr>
              <w:spacing w:before="120" w:after="60"/>
              <w:ind w:right="-964"/>
              <w:rPr>
                <w:lang w:val="en-US"/>
              </w:rPr>
            </w:pPr>
            <w:r>
              <w:rPr>
                <w:lang w:val="en-US"/>
              </w:rPr>
              <w:t>johan.wallen@kronoberg.se</w:t>
            </w:r>
            <w:r w:rsidR="0089022A" w:rsidRPr="00E97FF5">
              <w:rPr>
                <w:lang w:val="en-US"/>
              </w:rPr>
              <w:tab/>
            </w:r>
          </w:p>
        </w:tc>
        <w:tc>
          <w:tcPr>
            <w:tcW w:w="4111" w:type="dxa"/>
            <w:shd w:val="clear" w:color="auto" w:fill="auto"/>
          </w:tcPr>
          <w:p w:rsidR="0089022A" w:rsidRDefault="0089022A" w:rsidP="00A935DB">
            <w:pPr>
              <w:spacing w:before="120" w:after="60"/>
              <w:ind w:right="-964"/>
            </w:pPr>
            <w:r>
              <w:t>Kontaktperson avtalsfrågor:</w:t>
            </w:r>
          </w:p>
          <w:p w:rsidR="0050763D" w:rsidRDefault="0089022A" w:rsidP="0050763D">
            <w:pPr>
              <w:spacing w:before="120" w:after="60"/>
              <w:ind w:right="-964"/>
            </w:pPr>
            <w:r w:rsidRPr="00F72D42">
              <w:t xml:space="preserve">Tfn: </w:t>
            </w:r>
          </w:p>
          <w:p w:rsidR="0089022A" w:rsidRPr="00E75434" w:rsidRDefault="0089022A" w:rsidP="0050763D">
            <w:pPr>
              <w:spacing w:before="120" w:after="60"/>
              <w:ind w:right="-964"/>
              <w:rPr>
                <w:lang w:val="nb-NO"/>
              </w:rPr>
            </w:pPr>
            <w:r w:rsidRPr="00E75434">
              <w:rPr>
                <w:lang w:val="nb-NO"/>
              </w:rPr>
              <w:t>E-post:</w:t>
            </w:r>
            <w:r w:rsidRPr="00E75434">
              <w:rPr>
                <w:lang w:val="nb-NO"/>
              </w:rPr>
              <w:tab/>
            </w:r>
          </w:p>
        </w:tc>
      </w:tr>
      <w:tr w:rsidR="0089022A" w:rsidRPr="00AC4B64" w:rsidTr="00A935DB">
        <w:tc>
          <w:tcPr>
            <w:tcW w:w="4219" w:type="dxa"/>
            <w:shd w:val="clear" w:color="auto" w:fill="auto"/>
          </w:tcPr>
          <w:p w:rsidR="0089022A" w:rsidRDefault="0089022A" w:rsidP="00A935DB">
            <w:pPr>
              <w:spacing w:before="120" w:after="60"/>
              <w:ind w:right="-964"/>
            </w:pPr>
            <w:r>
              <w:t xml:space="preserve">Kontaktperson verksamhetsfrågor: </w:t>
            </w:r>
          </w:p>
          <w:p w:rsidR="0089022A" w:rsidRDefault="00C205BC" w:rsidP="00A935DB">
            <w:pPr>
              <w:spacing w:before="120" w:after="60"/>
              <w:ind w:right="-964"/>
            </w:pPr>
            <w:r>
              <w:t>Marie Jadner</w:t>
            </w:r>
          </w:p>
          <w:p w:rsidR="0089022A" w:rsidRPr="0044055B" w:rsidRDefault="00C205BC" w:rsidP="00A935DB">
            <w:pPr>
              <w:spacing w:before="120" w:after="60"/>
              <w:ind w:right="-964"/>
            </w:pPr>
            <w:r>
              <w:t>Tfn: 0470-58 75 13</w:t>
            </w:r>
          </w:p>
          <w:p w:rsidR="0089022A" w:rsidRPr="00C205BC" w:rsidRDefault="00C205BC" w:rsidP="00A935DB">
            <w:pPr>
              <w:spacing w:before="120" w:after="60"/>
              <w:ind w:right="-964"/>
              <w:rPr>
                <w:lang w:val="nb-NO"/>
              </w:rPr>
            </w:pPr>
            <w:r>
              <w:rPr>
                <w:lang w:val="nb-NO"/>
              </w:rPr>
              <w:t>E-post: marie.jadner@kronoberg.se</w:t>
            </w:r>
          </w:p>
        </w:tc>
        <w:tc>
          <w:tcPr>
            <w:tcW w:w="4111" w:type="dxa"/>
            <w:shd w:val="clear" w:color="auto" w:fill="auto"/>
          </w:tcPr>
          <w:p w:rsidR="0089022A" w:rsidRDefault="0089022A" w:rsidP="00A935DB">
            <w:pPr>
              <w:spacing w:before="120" w:after="60"/>
              <w:ind w:right="-964"/>
            </w:pPr>
            <w:r>
              <w:t>Kontaktperson verksamhetsfrågor:</w:t>
            </w:r>
          </w:p>
          <w:p w:rsidR="0089022A" w:rsidRPr="00AC4B64" w:rsidRDefault="0089022A" w:rsidP="00A935DB">
            <w:pPr>
              <w:spacing w:before="120" w:after="60"/>
              <w:ind w:right="-964"/>
            </w:pPr>
          </w:p>
        </w:tc>
      </w:tr>
      <w:tr w:rsidR="0089022A" w:rsidTr="00A935DB">
        <w:tc>
          <w:tcPr>
            <w:tcW w:w="4219" w:type="dxa"/>
            <w:shd w:val="clear" w:color="auto" w:fill="auto"/>
          </w:tcPr>
          <w:p w:rsidR="0089022A" w:rsidRPr="00A002A9" w:rsidRDefault="0089022A" w:rsidP="00A935DB">
            <w:pPr>
              <w:spacing w:before="120" w:after="60"/>
              <w:ind w:right="-964"/>
            </w:pPr>
            <w:r w:rsidRPr="00A002A9">
              <w:t>Org. nr</w:t>
            </w:r>
            <w:proofErr w:type="gramStart"/>
            <w:r w:rsidRPr="00A002A9">
              <w:t>.:</w:t>
            </w:r>
            <w:proofErr w:type="gramEnd"/>
            <w:r w:rsidRPr="00E75434">
              <w:rPr>
                <w:szCs w:val="24"/>
              </w:rPr>
              <w:t xml:space="preserve"> 232100-0065</w:t>
            </w:r>
          </w:p>
        </w:tc>
        <w:tc>
          <w:tcPr>
            <w:tcW w:w="4111" w:type="dxa"/>
            <w:shd w:val="clear" w:color="auto" w:fill="auto"/>
          </w:tcPr>
          <w:p w:rsidR="0089022A" w:rsidRDefault="0050763D" w:rsidP="00A935DB">
            <w:pPr>
              <w:spacing w:before="120" w:after="60"/>
              <w:ind w:right="-964"/>
            </w:pPr>
            <w:r>
              <w:t>Org. nr</w:t>
            </w:r>
            <w:proofErr w:type="gramStart"/>
            <w:r>
              <w:t>.:</w:t>
            </w:r>
            <w:proofErr w:type="gramEnd"/>
            <w:r>
              <w:t xml:space="preserve"> </w:t>
            </w:r>
          </w:p>
        </w:tc>
      </w:tr>
    </w:tbl>
    <w:p w:rsidR="0089022A" w:rsidRDefault="0089022A" w:rsidP="0089022A">
      <w:pPr>
        <w:pStyle w:val="Rubrik1"/>
        <w:spacing w:after="120"/>
        <w:ind w:right="-964"/>
      </w:pPr>
    </w:p>
    <w:p w:rsidR="0089022A" w:rsidRDefault="0089022A" w:rsidP="0089022A">
      <w:pPr>
        <w:pStyle w:val="Rubrik1"/>
        <w:numPr>
          <w:ilvl w:val="0"/>
          <w:numId w:val="1"/>
        </w:numPr>
        <w:spacing w:after="120"/>
        <w:ind w:right="-964"/>
      </w:pPr>
      <w:r>
        <w:t>Avtalstid</w:t>
      </w:r>
    </w:p>
    <w:p w:rsidR="0089022A" w:rsidRDefault="0089022A" w:rsidP="0089022A">
      <w:pPr>
        <w:ind w:right="-511"/>
      </w:pPr>
      <w:r>
        <w:t xml:space="preserve">Avtalet gäller under tiden </w:t>
      </w:r>
      <w:r w:rsidR="00725FE4">
        <w:t>201X-XX-XX-201X</w:t>
      </w:r>
      <w:r w:rsidR="0050763D">
        <w:t>-XX-XX</w:t>
      </w:r>
      <w:r>
        <w:t>.</w:t>
      </w:r>
      <w:r w:rsidR="00CF6AC3">
        <w:t xml:space="preserve"> </w:t>
      </w:r>
      <w:r w:rsidR="00CF6AC3" w:rsidRPr="00C0381E">
        <w:t>(Grundavtalstid på 4 år)</w:t>
      </w:r>
    </w:p>
    <w:p w:rsidR="0089022A" w:rsidRDefault="0089022A" w:rsidP="0089022A">
      <w:pPr>
        <w:ind w:right="-511"/>
      </w:pPr>
    </w:p>
    <w:p w:rsidR="0089022A" w:rsidRDefault="0089022A" w:rsidP="0089022A">
      <w:pPr>
        <w:ind w:right="-511"/>
      </w:pPr>
      <w:r>
        <w:t>Utnyttjas inte optionsrätten enligt nedan</w:t>
      </w:r>
      <w:r w:rsidR="00CF6AC3">
        <w:t xml:space="preserve"> </w:t>
      </w:r>
      <w:r>
        <w:t>löper avtalet ut utan föregående uppsägning.</w:t>
      </w:r>
    </w:p>
    <w:p w:rsidR="0089022A" w:rsidRDefault="0089022A" w:rsidP="0089022A">
      <w:pPr>
        <w:ind w:right="-511"/>
      </w:pPr>
    </w:p>
    <w:p w:rsidR="00725FE4" w:rsidRDefault="00725FE4" w:rsidP="0089022A">
      <w:pPr>
        <w:ind w:right="-511"/>
      </w:pPr>
    </w:p>
    <w:p w:rsidR="00725FE4" w:rsidRDefault="00725FE4" w:rsidP="0089022A">
      <w:pPr>
        <w:ind w:right="-511"/>
      </w:pPr>
    </w:p>
    <w:p w:rsidR="00725FE4" w:rsidRDefault="00725FE4" w:rsidP="0089022A">
      <w:pPr>
        <w:ind w:right="-511"/>
      </w:pPr>
    </w:p>
    <w:p w:rsidR="0089022A" w:rsidRDefault="0089022A" w:rsidP="0089022A">
      <w:pPr>
        <w:pStyle w:val="Rubrik1"/>
        <w:numPr>
          <w:ilvl w:val="0"/>
          <w:numId w:val="1"/>
        </w:numPr>
        <w:spacing w:after="120"/>
        <w:ind w:right="-511"/>
      </w:pPr>
      <w:r>
        <w:t>Optionsförlängning</w:t>
      </w:r>
    </w:p>
    <w:p w:rsidR="003C64AF" w:rsidRDefault="003C64AF" w:rsidP="005F2101">
      <w:pPr>
        <w:pStyle w:val="Liststycke"/>
        <w:ind w:left="0" w:right="-964"/>
      </w:pPr>
      <w:r>
        <w:t xml:space="preserve">Beställaren har möjlighet att förlänga Avtalet med </w:t>
      </w:r>
      <w:r w:rsidR="00C205BC">
        <w:t xml:space="preserve">2 år i taget. </w:t>
      </w:r>
      <w:r w:rsidRPr="005F2101">
        <w:t>Förlängning</w:t>
      </w:r>
      <w:r w:rsidR="00C205BC">
        <w:t xml:space="preserve"> </w:t>
      </w:r>
      <w:r w:rsidRPr="005F2101">
        <w:t xml:space="preserve">kan ske vid flera tillfällen, med den sammanlagda </w:t>
      </w:r>
      <w:proofErr w:type="gramStart"/>
      <w:r w:rsidRPr="005F2101">
        <w:t xml:space="preserve">avtalstiden </w:t>
      </w:r>
      <w:r w:rsidR="00CF6AC3">
        <w:t xml:space="preserve"> kan</w:t>
      </w:r>
      <w:proofErr w:type="gramEnd"/>
      <w:r w:rsidR="00CF6AC3">
        <w:t xml:space="preserve"> som mest upp</w:t>
      </w:r>
      <w:r w:rsidRPr="005F2101">
        <w:t>gå till 20 år.</w:t>
      </w:r>
      <w:r>
        <w:t xml:space="preserve"> </w:t>
      </w:r>
    </w:p>
    <w:p w:rsidR="003C64AF" w:rsidRDefault="003C64AF" w:rsidP="005F2101">
      <w:pPr>
        <w:ind w:left="720" w:right="-964"/>
      </w:pPr>
    </w:p>
    <w:p w:rsidR="003C64AF" w:rsidRDefault="003C64AF" w:rsidP="005F2101">
      <w:pPr>
        <w:pStyle w:val="Liststycke"/>
        <w:ind w:left="0" w:right="-964"/>
      </w:pPr>
      <w:r>
        <w:t>Beställaren ska skriftligen meddela begäran om förlängning senast 6 (sex) månader före utgången av avtalstiden. I annat fall upphör Avtalet automatiskt att gälla vid avtalstidens utgång utan föregående uppsägning.</w:t>
      </w:r>
    </w:p>
    <w:p w:rsidR="0089022A" w:rsidRDefault="0089022A" w:rsidP="005F2101">
      <w:pPr>
        <w:ind w:right="-511"/>
      </w:pPr>
    </w:p>
    <w:p w:rsidR="0089022A" w:rsidRDefault="0089022A" w:rsidP="005F2101">
      <w:pPr>
        <w:pStyle w:val="Rubrik1"/>
        <w:numPr>
          <w:ilvl w:val="0"/>
          <w:numId w:val="1"/>
        </w:numPr>
        <w:spacing w:after="120"/>
        <w:ind w:right="-511"/>
      </w:pPr>
      <w:proofErr w:type="gramStart"/>
      <w:r>
        <w:t>Uppdrag</w:t>
      </w:r>
      <w:proofErr w:type="gramEnd"/>
      <w:r>
        <w:t>/åtagande</w:t>
      </w:r>
    </w:p>
    <w:p w:rsidR="0089022A" w:rsidRDefault="0089022A" w:rsidP="005F2101">
      <w:pPr>
        <w:ind w:right="-511"/>
      </w:pPr>
      <w:r>
        <w:t>I detta avtal regleras Leverantörens bedrivande av verksamhet vid följande vårdenhet:</w:t>
      </w:r>
    </w:p>
    <w:p w:rsidR="0089022A" w:rsidRDefault="0089022A" w:rsidP="005F2101">
      <w:pPr>
        <w:ind w:right="-511"/>
      </w:pPr>
    </w:p>
    <w:p w:rsidR="0089022A" w:rsidRPr="00F646E5" w:rsidRDefault="0050763D" w:rsidP="005F2101">
      <w:pPr>
        <w:ind w:right="-511"/>
        <w:rPr>
          <w:i/>
        </w:rPr>
      </w:pPr>
      <w:r>
        <w:rPr>
          <w:i/>
        </w:rPr>
        <w:t>XXXX</w:t>
      </w:r>
    </w:p>
    <w:p w:rsidR="0089022A" w:rsidRDefault="0089022A" w:rsidP="0089022A">
      <w:pPr>
        <w:ind w:right="-511"/>
      </w:pPr>
    </w:p>
    <w:p w:rsidR="0089022A" w:rsidRDefault="0089022A" w:rsidP="0089022A">
      <w:pPr>
        <w:ind w:right="-511"/>
      </w:pPr>
      <w:r>
        <w:t xml:space="preserve">Leverantörens grunduppdrag/åtagande framgår av Regelboken - ”Vårdval </w:t>
      </w:r>
      <w:r w:rsidRPr="00890DAC">
        <w:t xml:space="preserve">Kronoberg – specialiserad </w:t>
      </w:r>
      <w:r w:rsidR="00CF6AC3" w:rsidRPr="00890DAC">
        <w:t>BUP</w:t>
      </w:r>
      <w:r w:rsidR="00C205BC" w:rsidRPr="00890DAC">
        <w:t xml:space="preserve"> </w:t>
      </w:r>
      <w:r w:rsidRPr="00890DAC">
        <w:t xml:space="preserve">i öppen vård”. Leverantören </w:t>
      </w:r>
      <w:r>
        <w:t>åtar sig att bedriva verksamhet vid vårdenheten enligt innehållet i Regelboken.</w:t>
      </w:r>
    </w:p>
    <w:p w:rsidR="0089022A" w:rsidRPr="00EB2A4C" w:rsidRDefault="0089022A" w:rsidP="0089022A">
      <w:pPr>
        <w:pStyle w:val="Rubrik2"/>
        <w:numPr>
          <w:ilvl w:val="1"/>
          <w:numId w:val="1"/>
        </w:numPr>
        <w:spacing w:after="240"/>
        <w:ind w:right="-511"/>
        <w:rPr>
          <w:b w:val="0"/>
        </w:rPr>
      </w:pPr>
      <w:bookmarkStart w:id="6" w:name="OLE_LINK3"/>
      <w:r w:rsidRPr="00EB2A4C">
        <w:rPr>
          <w:b w:val="0"/>
        </w:rPr>
        <w:t>Rätt att bedriva annan verksamhet</w:t>
      </w:r>
    </w:p>
    <w:p w:rsidR="0089022A" w:rsidRPr="002114DA" w:rsidRDefault="0089022A" w:rsidP="0089022A">
      <w:pPr>
        <w:pStyle w:val="Rubrik3"/>
        <w:tabs>
          <w:tab w:val="left" w:pos="1134"/>
          <w:tab w:val="left" w:pos="1985"/>
          <w:tab w:val="left" w:pos="2835"/>
          <w:tab w:val="left" w:pos="3686"/>
          <w:tab w:val="left" w:pos="5103"/>
          <w:tab w:val="left" w:pos="6804"/>
          <w:tab w:val="left" w:pos="7938"/>
          <w:tab w:val="left" w:pos="8280"/>
        </w:tabs>
        <w:spacing w:before="0"/>
        <w:ind w:right="-511"/>
        <w:rPr>
          <w:rFonts w:ascii="Times New Roman" w:hAnsi="Times New Roman"/>
          <w:b w:val="0"/>
          <w:sz w:val="24"/>
        </w:rPr>
      </w:pPr>
      <w:r w:rsidRPr="002114DA">
        <w:rPr>
          <w:rFonts w:ascii="Times New Roman" w:hAnsi="Times New Roman"/>
          <w:b w:val="0"/>
          <w:sz w:val="24"/>
        </w:rPr>
        <w:t xml:space="preserve">Leverantören har rätt att bedriva annan hälso- och sjukvårdsverksamhet utöver uppdraget. Lokalerna får </w:t>
      </w:r>
      <w:proofErr w:type="gramStart"/>
      <w:r w:rsidRPr="002114DA">
        <w:rPr>
          <w:rFonts w:ascii="Times New Roman" w:hAnsi="Times New Roman"/>
          <w:b w:val="0"/>
          <w:sz w:val="24"/>
        </w:rPr>
        <w:t>nyttjas</w:t>
      </w:r>
      <w:proofErr w:type="gramEnd"/>
      <w:r w:rsidRPr="002114DA">
        <w:rPr>
          <w:rFonts w:ascii="Times New Roman" w:hAnsi="Times New Roman"/>
          <w:b w:val="0"/>
          <w:sz w:val="24"/>
        </w:rPr>
        <w:t xml:space="preserve"> för sådan verksamhet under förutsättning att uppdraget åt Regionen uppfylls. Verksamhet som be</w:t>
      </w:r>
      <w:r w:rsidRPr="002114DA">
        <w:rPr>
          <w:rFonts w:ascii="Times New Roman" w:hAnsi="Times New Roman"/>
          <w:b w:val="0"/>
          <w:sz w:val="24"/>
        </w:rPr>
        <w:softHyphen/>
        <w:t>drivs vid sidan av uppdraget får aldrig inverka negativt på</w:t>
      </w:r>
      <w:r w:rsidR="00C205BC">
        <w:rPr>
          <w:rFonts w:ascii="Times New Roman" w:hAnsi="Times New Roman"/>
          <w:b w:val="0"/>
          <w:sz w:val="24"/>
        </w:rPr>
        <w:t xml:space="preserve"> kvaliteten på l</w:t>
      </w:r>
      <w:r w:rsidRPr="002114DA">
        <w:rPr>
          <w:rFonts w:ascii="Times New Roman" w:hAnsi="Times New Roman"/>
          <w:b w:val="0"/>
          <w:sz w:val="24"/>
        </w:rPr>
        <w:t xml:space="preserve">everantörens utförande av uppdraget. </w:t>
      </w:r>
    </w:p>
    <w:p w:rsidR="0089022A" w:rsidRDefault="0089022A" w:rsidP="0089022A">
      <w:pPr>
        <w:ind w:right="-511"/>
      </w:pPr>
      <w:r>
        <w:t>Leverantören ansvarar för att verksamheten enligt kontraktet hålls åts</w:t>
      </w:r>
      <w:r w:rsidR="00C205BC">
        <w:t>kild från annan verksamhet som l</w:t>
      </w:r>
      <w:r>
        <w:t>everantören utför vid eller i anslutning till vårdenheten samt att redovisning av intäkter och kostnader sker på ett korrekt sätt.</w:t>
      </w:r>
    </w:p>
    <w:p w:rsidR="0089022A" w:rsidRPr="008C1A0B" w:rsidRDefault="0089022A" w:rsidP="0089022A">
      <w:pPr>
        <w:ind w:right="-511"/>
      </w:pPr>
    </w:p>
    <w:bookmarkEnd w:id="6"/>
    <w:p w:rsidR="0089022A" w:rsidRDefault="0089022A" w:rsidP="0089022A">
      <w:pPr>
        <w:pStyle w:val="Rubrik1"/>
        <w:numPr>
          <w:ilvl w:val="0"/>
          <w:numId w:val="1"/>
        </w:numPr>
        <w:spacing w:after="120"/>
        <w:ind w:right="-511"/>
      </w:pPr>
      <w:r>
        <w:t>Ekonomiska regleringar</w:t>
      </w:r>
    </w:p>
    <w:p w:rsidR="0089022A" w:rsidRPr="00890DAC" w:rsidRDefault="0089022A" w:rsidP="0089022A">
      <w:pPr>
        <w:ind w:right="-511"/>
      </w:pPr>
      <w:r w:rsidRPr="00890DAC">
        <w:t>Se ”E</w:t>
      </w:r>
      <w:r w:rsidR="00CF6AC3" w:rsidRPr="00890DAC">
        <w:t>rsättningsmodell” i Regelboken - ”Vårdval Kronoberg – specialiserad BUP i öppen vård</w:t>
      </w:r>
      <w:r w:rsidR="008D1356" w:rsidRPr="00890DAC">
        <w:t>.</w:t>
      </w:r>
    </w:p>
    <w:p w:rsidR="0089022A" w:rsidRDefault="0089022A" w:rsidP="0089022A">
      <w:pPr>
        <w:ind w:right="-511"/>
      </w:pPr>
    </w:p>
    <w:p w:rsidR="0089022A" w:rsidRDefault="0089022A" w:rsidP="0089022A">
      <w:pPr>
        <w:pStyle w:val="Rubrik1"/>
        <w:numPr>
          <w:ilvl w:val="0"/>
          <w:numId w:val="1"/>
        </w:numPr>
        <w:spacing w:after="120"/>
        <w:ind w:right="-511"/>
      </w:pPr>
      <w:r>
        <w:t>Personal</w:t>
      </w:r>
    </w:p>
    <w:p w:rsidR="0089022A" w:rsidRPr="00EB2A4C" w:rsidRDefault="0089022A" w:rsidP="0089022A">
      <w:pPr>
        <w:pStyle w:val="Rubrik2"/>
        <w:numPr>
          <w:ilvl w:val="1"/>
          <w:numId w:val="1"/>
        </w:numPr>
        <w:ind w:right="-511"/>
        <w:rPr>
          <w:b w:val="0"/>
        </w:rPr>
      </w:pPr>
      <w:r w:rsidRPr="00EB2A4C">
        <w:rPr>
          <w:b w:val="0"/>
        </w:rPr>
        <w:t>Kompetenskrav</w:t>
      </w:r>
    </w:p>
    <w:p w:rsidR="0059173C" w:rsidRPr="00890DAC" w:rsidRDefault="0089022A" w:rsidP="0059173C">
      <w:pPr>
        <w:ind w:right="-511"/>
      </w:pPr>
      <w:r w:rsidRPr="00890DAC">
        <w:t xml:space="preserve">Se ”Kompetenskrav” i </w:t>
      </w:r>
      <w:r w:rsidR="0059173C" w:rsidRPr="00890DAC">
        <w:t>Regelboken - ”Vårdval Kronoberg – specialiserad BUP i öppen vård.</w:t>
      </w:r>
    </w:p>
    <w:p w:rsidR="0089022A" w:rsidRPr="00A568E4" w:rsidRDefault="0089022A" w:rsidP="0089022A">
      <w:pPr>
        <w:ind w:right="-511"/>
      </w:pPr>
      <w:r w:rsidRPr="008D1356">
        <w:rPr>
          <w:color w:val="FF0000"/>
        </w:rPr>
        <w:t xml:space="preserve"> </w:t>
      </w:r>
    </w:p>
    <w:p w:rsidR="0089022A" w:rsidRPr="00EB2A4C" w:rsidRDefault="0089022A" w:rsidP="0089022A">
      <w:pPr>
        <w:pStyle w:val="Rubrik2"/>
        <w:numPr>
          <w:ilvl w:val="1"/>
          <w:numId w:val="1"/>
        </w:numPr>
        <w:ind w:right="-511"/>
        <w:rPr>
          <w:b w:val="0"/>
        </w:rPr>
      </w:pPr>
      <w:r w:rsidRPr="00EB2A4C">
        <w:rPr>
          <w:b w:val="0"/>
        </w:rPr>
        <w:t>Arbetsgivaransvar</w:t>
      </w:r>
    </w:p>
    <w:p w:rsidR="0089022A" w:rsidRPr="009F58D3" w:rsidRDefault="0089022A" w:rsidP="0089022A">
      <w:pPr>
        <w:ind w:right="-511"/>
      </w:pPr>
      <w:r>
        <w:t>Leverantören</w:t>
      </w:r>
      <w:r w:rsidRPr="009F58D3">
        <w:t xml:space="preserve"> svarar för löner, sociala avgifter och andra avtalsenliga och lagstadgade kostnader för sig och sin personal. </w:t>
      </w:r>
      <w:r>
        <w:t>Leverantören</w:t>
      </w:r>
      <w:r w:rsidRPr="009F58D3">
        <w:t xml:space="preserve"> är ensam arbetsgivare för den egna personalen och är ensam bärare av arbetsgivaransvar i förhållande till denna personal.</w:t>
      </w:r>
    </w:p>
    <w:p w:rsidR="0089022A" w:rsidRDefault="0089022A" w:rsidP="0089022A">
      <w:pPr>
        <w:ind w:right="-511"/>
      </w:pPr>
      <w:r>
        <w:t>Leverantören förbinder</w:t>
      </w:r>
      <w:r w:rsidRPr="009F58D3">
        <w:t xml:space="preserve"> sig att gentemot myn</w:t>
      </w:r>
      <w:r w:rsidR="00D53B10">
        <w:t>digheter och andra fullgöra de</w:t>
      </w:r>
      <w:r w:rsidRPr="009F58D3">
        <w:t xml:space="preserve"> skyldigheter som verksamheten föranleder vid varje tillfälle. </w:t>
      </w:r>
    </w:p>
    <w:p w:rsidR="0089022A" w:rsidRDefault="0089022A" w:rsidP="0089022A">
      <w:pPr>
        <w:ind w:right="-511"/>
      </w:pPr>
    </w:p>
    <w:p w:rsidR="0089022A" w:rsidRDefault="0089022A" w:rsidP="0089022A">
      <w:pPr>
        <w:ind w:right="-511"/>
      </w:pPr>
      <w:r>
        <w:t>Leverantören garanterar att eventuella underleverantörer genom avtal binds till motsvarande krav.</w:t>
      </w:r>
    </w:p>
    <w:p w:rsidR="00725FE4" w:rsidRDefault="00725FE4" w:rsidP="0089022A">
      <w:pPr>
        <w:ind w:right="-511"/>
      </w:pPr>
    </w:p>
    <w:p w:rsidR="0089022A" w:rsidRDefault="0089022A" w:rsidP="0089022A">
      <w:pPr>
        <w:pStyle w:val="Rubrik2"/>
        <w:numPr>
          <w:ilvl w:val="1"/>
          <w:numId w:val="1"/>
        </w:numPr>
        <w:ind w:right="-511"/>
        <w:rPr>
          <w:b w:val="0"/>
        </w:rPr>
      </w:pPr>
      <w:r>
        <w:rPr>
          <w:b w:val="0"/>
        </w:rPr>
        <w:t xml:space="preserve">Personal </w:t>
      </w:r>
    </w:p>
    <w:p w:rsidR="0089022A" w:rsidRDefault="0089022A" w:rsidP="0089022A">
      <w:pPr>
        <w:ind w:right="-511"/>
      </w:pPr>
      <w:r>
        <w:t xml:space="preserve">Vårdenheten ska ha utsedd namngiven verksamhetschef som ska vara väl förtrogen med de lagar, förordningar, föreskrifter, riktlinjer, råd och rekommendationer som gäller för hälso- och sjukvården. </w:t>
      </w:r>
    </w:p>
    <w:p w:rsidR="0089022A" w:rsidRDefault="0089022A" w:rsidP="0089022A">
      <w:pPr>
        <w:ind w:right="-511"/>
      </w:pPr>
    </w:p>
    <w:p w:rsidR="0089022A" w:rsidRDefault="0089022A" w:rsidP="0089022A">
      <w:pPr>
        <w:ind w:right="-511"/>
      </w:pPr>
      <w:r>
        <w:t>V</w:t>
      </w:r>
      <w:r w:rsidR="00D53B10">
        <w:t>id byte av verksamhetschef ska l</w:t>
      </w:r>
      <w:r>
        <w:t xml:space="preserve">everantören meddela </w:t>
      </w:r>
      <w:r w:rsidRPr="00BF2768">
        <w:t xml:space="preserve">Regionen om </w:t>
      </w:r>
      <w:r>
        <w:t>detta.</w:t>
      </w:r>
    </w:p>
    <w:p w:rsidR="0089022A" w:rsidRDefault="0089022A" w:rsidP="0089022A">
      <w:pPr>
        <w:ind w:right="-511"/>
      </w:pPr>
    </w:p>
    <w:p w:rsidR="0089022A" w:rsidRDefault="0089022A" w:rsidP="0089022A">
      <w:pPr>
        <w:ind w:right="-511"/>
      </w:pPr>
      <w:r>
        <w:t>Leverantören ansvarar för att personal (inklusive vikarier, ersättare och underleveran</w:t>
      </w:r>
      <w:r w:rsidR="00D53B10">
        <w:t>tör) inte uppbär ersättning enligt</w:t>
      </w:r>
      <w:r>
        <w:t xml:space="preserve"> lag (</w:t>
      </w:r>
      <w:proofErr w:type="gramStart"/>
      <w:r>
        <w:t>1993:1651</w:t>
      </w:r>
      <w:proofErr w:type="gramEnd"/>
      <w:r>
        <w:t>) om läkarvårdsersättning, förordningen (1994:1121) om läkarvårdsersättning eller den lag som ersätter dessa, om de är verksamma vid vårdenheten och utför tjänster enligt detta kontrakt.</w:t>
      </w:r>
    </w:p>
    <w:p w:rsidR="0089022A" w:rsidRDefault="0089022A" w:rsidP="0089022A">
      <w:pPr>
        <w:ind w:right="-511"/>
      </w:pPr>
    </w:p>
    <w:p w:rsidR="0089022A" w:rsidRPr="00781A50" w:rsidRDefault="0089022A" w:rsidP="0089022A">
      <w:pPr>
        <w:pStyle w:val="Rubrik2"/>
        <w:numPr>
          <w:ilvl w:val="1"/>
          <w:numId w:val="1"/>
        </w:numPr>
        <w:ind w:right="-511"/>
        <w:rPr>
          <w:b w:val="0"/>
        </w:rPr>
      </w:pPr>
      <w:r w:rsidRPr="00781A50">
        <w:rPr>
          <w:b w:val="0"/>
        </w:rPr>
        <w:t>Meddelarfrihet</w:t>
      </w:r>
    </w:p>
    <w:p w:rsidR="0089022A" w:rsidRPr="00F72D42" w:rsidRDefault="00D53B10" w:rsidP="0089022A">
      <w:pPr>
        <w:ind w:right="-511"/>
      </w:pPr>
      <w:r>
        <w:t>Anställda hos l</w:t>
      </w:r>
      <w:r w:rsidR="0089022A" w:rsidRPr="00F72D42">
        <w:t xml:space="preserve">everantören ska omfattas av samma meddelarfrihet och meddelarskydd avseende den medicinska vården som anställda i offentlig verksamhet, och sålunda ha rätt att lämna uppgifter för offentliggörande. Leverantören åtar sig att, med undantag för vad som nedan anges, inte ingripa mot eller efterforska den som lämnat sådant meddelande. </w:t>
      </w:r>
    </w:p>
    <w:p w:rsidR="0089022A" w:rsidRDefault="0089022A" w:rsidP="0089022A">
      <w:pPr>
        <w:ind w:right="-511"/>
      </w:pPr>
      <w:r w:rsidRPr="00F72D42">
        <w:t>Åtagandet enligt punkten ovan gäller inte sådana meddelanden som avser företagshemlighet som skyddas av lagen (1990:409) om skydd för företagshemligheter,</w:t>
      </w:r>
      <w:r w:rsidR="00D53B10">
        <w:t xml:space="preserve"> omfattas av tystnadsplikt för l</w:t>
      </w:r>
      <w:r w:rsidRPr="00F72D42">
        <w:t>everantörens anställda utanför det område som Avtalet om</w:t>
      </w:r>
      <w:r w:rsidR="00D53B10">
        <w:t>fattar, eller rör uppgifter om e</w:t>
      </w:r>
      <w:r w:rsidRPr="00F72D42">
        <w:t>nskildas personliga förhållanden.</w:t>
      </w:r>
    </w:p>
    <w:p w:rsidR="0089022A" w:rsidRPr="00F72D42" w:rsidRDefault="0089022A" w:rsidP="0089022A">
      <w:pPr>
        <w:ind w:right="-511"/>
      </w:pPr>
    </w:p>
    <w:p w:rsidR="0089022A" w:rsidRDefault="0089022A" w:rsidP="0089022A">
      <w:pPr>
        <w:pStyle w:val="Rubrik1"/>
        <w:numPr>
          <w:ilvl w:val="0"/>
          <w:numId w:val="1"/>
        </w:numPr>
        <w:spacing w:after="120"/>
        <w:ind w:right="-511"/>
      </w:pPr>
      <w:r>
        <w:t>Allmänna bestämmelser</w:t>
      </w:r>
    </w:p>
    <w:p w:rsidR="0089022A" w:rsidRPr="00C665AD" w:rsidRDefault="0089022A" w:rsidP="0089022A">
      <w:pPr>
        <w:pStyle w:val="Rubrik2"/>
        <w:numPr>
          <w:ilvl w:val="1"/>
          <w:numId w:val="1"/>
        </w:numPr>
        <w:ind w:right="-511"/>
        <w:rPr>
          <w:b w:val="0"/>
        </w:rPr>
      </w:pPr>
      <w:r w:rsidRPr="00C665AD">
        <w:rPr>
          <w:b w:val="0"/>
        </w:rPr>
        <w:t>Lagar, förordningar, riktlinjer och policys</w:t>
      </w:r>
    </w:p>
    <w:p w:rsidR="0089022A" w:rsidRDefault="0089022A" w:rsidP="0089022A">
      <w:pPr>
        <w:ind w:right="-511"/>
      </w:pPr>
      <w:r>
        <w:t xml:space="preserve">Vårdenheten ansvarar för att gällande konventioner, lagar, förordningar, föreskrifter och Region Kronobergs egna riktlinjer och policys som berör detta avtal följs. </w:t>
      </w:r>
    </w:p>
    <w:p w:rsidR="0089022A" w:rsidRDefault="0089022A" w:rsidP="0089022A">
      <w:pPr>
        <w:ind w:right="-511"/>
      </w:pPr>
    </w:p>
    <w:p w:rsidR="0089022A" w:rsidRPr="0059173C" w:rsidRDefault="0089022A" w:rsidP="0089022A">
      <w:pPr>
        <w:ind w:right="-511"/>
        <w:rPr>
          <w:color w:val="FF0000"/>
        </w:rPr>
      </w:pPr>
      <w:r>
        <w:t>Övergripande dokument som t.ex. regionfullmäktiges beslutade</w:t>
      </w:r>
      <w:r w:rsidR="00D53B10">
        <w:t xml:space="preserve"> riktlinjer och </w:t>
      </w:r>
      <w:r w:rsidR="00D53B10" w:rsidRPr="00BF2768">
        <w:t>gällande budget</w:t>
      </w:r>
      <w:r w:rsidRPr="00BF2768">
        <w:t xml:space="preserve">, patienträttigheter, patientavgifter m.m. finns på Region Kronobergs hemsida, www.regionkronoberg.se  </w:t>
      </w:r>
    </w:p>
    <w:p w:rsidR="0089022A" w:rsidRDefault="0089022A" w:rsidP="0089022A">
      <w:pPr>
        <w:ind w:right="-511"/>
      </w:pPr>
    </w:p>
    <w:p w:rsidR="0089022A" w:rsidRDefault="0089022A" w:rsidP="0089022A">
      <w:pPr>
        <w:ind w:right="-511"/>
      </w:pPr>
      <w:r>
        <w:t>Leverantören ska även följa de anvisningar som regionen ger.</w:t>
      </w:r>
    </w:p>
    <w:p w:rsidR="0089022A" w:rsidRPr="00EB2A4C" w:rsidRDefault="0089022A" w:rsidP="0089022A">
      <w:pPr>
        <w:pStyle w:val="Rubrik2"/>
        <w:numPr>
          <w:ilvl w:val="1"/>
          <w:numId w:val="1"/>
        </w:numPr>
        <w:ind w:right="-511"/>
        <w:rPr>
          <w:b w:val="0"/>
        </w:rPr>
      </w:pPr>
      <w:r>
        <w:rPr>
          <w:b w:val="0"/>
        </w:rPr>
        <w:t xml:space="preserve">Sekretess </w:t>
      </w:r>
    </w:p>
    <w:p w:rsidR="0089022A" w:rsidRPr="00F72D42" w:rsidRDefault="0089022A" w:rsidP="0089022A">
      <w:pPr>
        <w:spacing w:after="200"/>
        <w:ind w:right="-511"/>
      </w:pPr>
      <w:r w:rsidRPr="00F72D42">
        <w:t>Leverantören ska se till att all personal omfattas av sekretesskrav motsvarande de som ställs i patientdatalagen (2008:355), offentlighets-</w:t>
      </w:r>
      <w:r w:rsidR="00B6468D">
        <w:t xml:space="preserve"> och sekretesslagen (2009:400), </w:t>
      </w:r>
      <w:r w:rsidRPr="00F72D42">
        <w:t>patientsäkerhetslagen</w:t>
      </w:r>
      <w:r>
        <w:t xml:space="preserve"> (2010:659)</w:t>
      </w:r>
      <w:r w:rsidR="00B6468D">
        <w:t xml:space="preserve"> samt gällande dataskyddslagstiftning.</w:t>
      </w:r>
      <w:r w:rsidRPr="00F72D42">
        <w:t xml:space="preserve"> Detta gäller även icke hälso- och sjukvårdspersonal samt personal anställd hos andra leverant</w:t>
      </w:r>
      <w:r w:rsidR="00B6468D">
        <w:t>örer som arbetar på uppdrag av l</w:t>
      </w:r>
      <w:r w:rsidRPr="00F72D42">
        <w:t xml:space="preserve">everantören. </w:t>
      </w:r>
    </w:p>
    <w:p w:rsidR="0089022A" w:rsidRPr="00EB2A4C" w:rsidRDefault="0089022A" w:rsidP="0089022A">
      <w:pPr>
        <w:pStyle w:val="Rubrik2"/>
        <w:numPr>
          <w:ilvl w:val="1"/>
          <w:numId w:val="1"/>
        </w:numPr>
        <w:ind w:right="-511"/>
        <w:rPr>
          <w:b w:val="0"/>
        </w:rPr>
      </w:pPr>
      <w:r>
        <w:rPr>
          <w:b w:val="0"/>
        </w:rPr>
        <w:t xml:space="preserve">Patientjournaler </w:t>
      </w:r>
    </w:p>
    <w:p w:rsidR="0089022A" w:rsidRPr="002114DA" w:rsidRDefault="0089022A" w:rsidP="0089022A">
      <w:pPr>
        <w:pStyle w:val="Brdtext"/>
        <w:ind w:right="-511"/>
        <w:rPr>
          <w:rFonts w:ascii="Times New Roman" w:hAnsi="Times New Roman"/>
        </w:rPr>
      </w:pPr>
      <w:r w:rsidRPr="002114DA">
        <w:rPr>
          <w:rFonts w:ascii="Times New Roman" w:hAnsi="Times New Roman"/>
        </w:rPr>
        <w:t>Leverantören ska upprätta, hantera och bevara patientjournaler enligt gällande lagar och förordningar och Socialstyrelsens föreskrifter.</w:t>
      </w:r>
    </w:p>
    <w:p w:rsidR="0089022A" w:rsidRPr="002114DA" w:rsidRDefault="0089022A" w:rsidP="0089022A">
      <w:pPr>
        <w:pStyle w:val="Brdtext"/>
        <w:ind w:right="-511"/>
        <w:rPr>
          <w:rFonts w:ascii="Times New Roman" w:hAnsi="Times New Roman"/>
        </w:rPr>
      </w:pPr>
      <w:r w:rsidRPr="002114DA">
        <w:rPr>
          <w:rFonts w:ascii="Times New Roman" w:hAnsi="Times New Roman"/>
        </w:rPr>
        <w:t>Leverantören ska, om patientens medgivande finns, utlämna kopia på patientjournal till annan vårdgivare som lämnar vård till patienten. Leverantören äger inte rätt till någon ersättning för detta. Utlämnandet ska ske i e</w:t>
      </w:r>
      <w:r w:rsidR="00B6468D">
        <w:rPr>
          <w:rFonts w:ascii="Times New Roman" w:hAnsi="Times New Roman"/>
        </w:rPr>
        <w:t>nlighet med p</w:t>
      </w:r>
      <w:r w:rsidRPr="002114DA">
        <w:rPr>
          <w:rFonts w:ascii="Times New Roman" w:hAnsi="Times New Roman"/>
        </w:rPr>
        <w:t>atientdatalagen,</w:t>
      </w:r>
      <w:r w:rsidR="00B6468D">
        <w:rPr>
          <w:rFonts w:ascii="Times New Roman" w:hAnsi="Times New Roman"/>
        </w:rPr>
        <w:t xml:space="preserve"> offentlighets och sekretesslagen samt patientsäkerhetslagen, i den mån dessa lagar </w:t>
      </w:r>
      <w:r w:rsidRPr="002114DA">
        <w:rPr>
          <w:rFonts w:ascii="Times New Roman" w:hAnsi="Times New Roman"/>
        </w:rPr>
        <w:t>reglerar utlämning av journaler och annan patientdokumentation.</w:t>
      </w:r>
    </w:p>
    <w:p w:rsidR="0089022A" w:rsidRPr="002114DA" w:rsidRDefault="0089022A" w:rsidP="0089022A">
      <w:pPr>
        <w:pStyle w:val="Brdtext"/>
        <w:ind w:right="-511"/>
        <w:rPr>
          <w:rFonts w:ascii="Times New Roman" w:hAnsi="Times New Roman"/>
        </w:rPr>
      </w:pPr>
      <w:r w:rsidRPr="002114DA">
        <w:rPr>
          <w:rFonts w:ascii="Times New Roman" w:hAnsi="Times New Roman"/>
        </w:rPr>
        <w:t>Vid utlämnande av kopior av p</w:t>
      </w:r>
      <w:r w:rsidR="00B6468D">
        <w:rPr>
          <w:rFonts w:ascii="Times New Roman" w:hAnsi="Times New Roman"/>
        </w:rPr>
        <w:t>atientjournal till patient ska l</w:t>
      </w:r>
      <w:r w:rsidRPr="002114DA">
        <w:rPr>
          <w:rFonts w:ascii="Times New Roman" w:hAnsi="Times New Roman"/>
        </w:rPr>
        <w:t>everantören följa Region Kronobergs regler om avgiftsbeläggning vid utlämnande av kopior av allmän handling.</w:t>
      </w:r>
    </w:p>
    <w:p w:rsidR="0089022A" w:rsidRPr="002114DA" w:rsidRDefault="0089022A" w:rsidP="0089022A">
      <w:pPr>
        <w:pStyle w:val="Brdtext"/>
        <w:ind w:right="-511"/>
        <w:rPr>
          <w:rFonts w:ascii="Times New Roman" w:hAnsi="Times New Roman"/>
        </w:rPr>
      </w:pPr>
      <w:r w:rsidRPr="002114DA">
        <w:rPr>
          <w:rFonts w:ascii="Times New Roman" w:hAnsi="Times New Roman"/>
        </w:rPr>
        <w:t xml:space="preserve">Vårdenheten ska använda ett elektroniskt </w:t>
      </w:r>
      <w:r w:rsidR="008D0E0C" w:rsidRPr="002114DA">
        <w:rPr>
          <w:rFonts w:ascii="Times New Roman" w:hAnsi="Times New Roman"/>
        </w:rPr>
        <w:t>journalsystem</w:t>
      </w:r>
      <w:r w:rsidRPr="002114DA">
        <w:rPr>
          <w:rFonts w:ascii="Times New Roman" w:hAnsi="Times New Roman"/>
        </w:rPr>
        <w:t xml:space="preserve"> och följa de anvisningar Region Kronoberg ger avseende sammanhållen journalföring. </w:t>
      </w:r>
    </w:p>
    <w:p w:rsidR="0089022A" w:rsidRPr="002114DA" w:rsidRDefault="0089022A" w:rsidP="0089022A">
      <w:pPr>
        <w:pStyle w:val="Brdtext"/>
        <w:ind w:right="-511"/>
        <w:rPr>
          <w:rFonts w:ascii="Times New Roman" w:hAnsi="Times New Roman"/>
        </w:rPr>
      </w:pPr>
      <w:r w:rsidRPr="002114DA">
        <w:rPr>
          <w:rFonts w:ascii="Times New Roman" w:hAnsi="Times New Roman"/>
        </w:rPr>
        <w:t>Vårdenheten svarar för att dokumentation upprättas vid överföring av patientjournal så att journal kan följas.</w:t>
      </w:r>
    </w:p>
    <w:p w:rsidR="0089022A" w:rsidRDefault="0089022A" w:rsidP="0089022A">
      <w:pPr>
        <w:pStyle w:val="Brdtext"/>
        <w:ind w:right="-511"/>
        <w:rPr>
          <w:rFonts w:ascii="Times New Roman" w:hAnsi="Times New Roman"/>
        </w:rPr>
      </w:pPr>
      <w:r w:rsidRPr="002114DA">
        <w:rPr>
          <w:rFonts w:ascii="Times New Roman" w:hAnsi="Times New Roman"/>
        </w:rPr>
        <w:t>Vid k</w:t>
      </w:r>
      <w:r w:rsidR="005E63EB">
        <w:rPr>
          <w:rFonts w:ascii="Times New Roman" w:hAnsi="Times New Roman"/>
        </w:rPr>
        <w:t>ontraktets upphörande samråder a</w:t>
      </w:r>
      <w:r w:rsidRPr="002114DA">
        <w:rPr>
          <w:rFonts w:ascii="Times New Roman" w:hAnsi="Times New Roman"/>
        </w:rPr>
        <w:t>rkivmyndigheten (Regionarkivet) och vårdenheten om hur patientjournaler och övrig patientrelaterad information ska h</w:t>
      </w:r>
      <w:r w:rsidR="005E63EB">
        <w:rPr>
          <w:rFonts w:ascii="Times New Roman" w:hAnsi="Times New Roman"/>
        </w:rPr>
        <w:t>anteras. Vårdenheten ska följa a</w:t>
      </w:r>
      <w:r w:rsidRPr="002114DA">
        <w:rPr>
          <w:rFonts w:ascii="Times New Roman" w:hAnsi="Times New Roman"/>
        </w:rPr>
        <w:t xml:space="preserve">rkivmyndighetens rekommendationer avseende överlämnande av journaler. </w:t>
      </w:r>
    </w:p>
    <w:p w:rsidR="0017636F" w:rsidRPr="00A67E92" w:rsidRDefault="0017636F" w:rsidP="0017636F">
      <w:pPr>
        <w:pStyle w:val="Brdtext"/>
        <w:ind w:right="-907"/>
        <w:rPr>
          <w:rFonts w:ascii="Times New Roman" w:hAnsi="Times New Roman"/>
          <w:szCs w:val="24"/>
        </w:rPr>
      </w:pPr>
      <w:r w:rsidRPr="00A67E92">
        <w:rPr>
          <w:rFonts w:ascii="Times New Roman" w:hAnsi="Times New Roman"/>
          <w:szCs w:val="24"/>
        </w:rPr>
        <w:t>Dataskyddsförordningen (GDPR) är direkt ti</w:t>
      </w:r>
      <w:r w:rsidR="00A67E92" w:rsidRPr="00A67E92">
        <w:rPr>
          <w:rFonts w:ascii="Times New Roman" w:hAnsi="Times New Roman"/>
          <w:szCs w:val="24"/>
        </w:rPr>
        <w:t>llämplig som svensk lag. V</w:t>
      </w:r>
      <w:r w:rsidRPr="00A67E92">
        <w:rPr>
          <w:rFonts w:ascii="Times New Roman" w:hAnsi="Times New Roman"/>
          <w:szCs w:val="24"/>
        </w:rPr>
        <w:t xml:space="preserve">årdgivare måste alltså tillämpa dataskyddsförordningen och kan endast tillämpa den kompletterande dataskyddslagen och patientdatalagen om de är förenliga med dataskyddsförordningen. </w:t>
      </w:r>
    </w:p>
    <w:p w:rsidR="0017636F" w:rsidRPr="00A67E92" w:rsidRDefault="00C7602F" w:rsidP="0017636F">
      <w:pPr>
        <w:pStyle w:val="Brdtext"/>
        <w:ind w:right="-907"/>
        <w:rPr>
          <w:rFonts w:ascii="Times New Roman" w:hAnsi="Times New Roman"/>
          <w:color w:val="0070C0"/>
          <w:szCs w:val="24"/>
        </w:rPr>
      </w:pPr>
      <w:hyperlink r:id="rId10" w:history="1">
        <w:r w:rsidR="0017636F" w:rsidRPr="00A67E92">
          <w:rPr>
            <w:rStyle w:val="Hyperlnk"/>
            <w:rFonts w:ascii="Times New Roman" w:hAnsi="Times New Roman"/>
            <w:color w:val="0070C0"/>
            <w:szCs w:val="24"/>
          </w:rPr>
          <w:t>https://www.datainspektionen.se/lagar--regler/patientdatalagen/</w:t>
        </w:r>
      </w:hyperlink>
      <w:r w:rsidR="0017636F" w:rsidRPr="00A67E92">
        <w:rPr>
          <w:rFonts w:ascii="Times New Roman" w:hAnsi="Times New Roman"/>
          <w:color w:val="0070C0"/>
          <w:szCs w:val="24"/>
        </w:rPr>
        <w:t xml:space="preserve"> </w:t>
      </w:r>
    </w:p>
    <w:p w:rsidR="0017636F" w:rsidRPr="00A67E92" w:rsidRDefault="0017636F" w:rsidP="0017636F">
      <w:pPr>
        <w:spacing w:after="300"/>
        <w:rPr>
          <w:color w:val="1B1B19"/>
          <w:szCs w:val="24"/>
        </w:rPr>
      </w:pPr>
      <w:r w:rsidRPr="00A67E92">
        <w:rPr>
          <w:color w:val="1B1B19"/>
          <w:szCs w:val="24"/>
        </w:rPr>
        <w:t>Innan en vårdgivare gör uppgifterna tillgängliga genom sammanhållen journalföring ska patienten informeras om vad sammanhållen journalföring är, om möjligheten att motsätta sig att uppgifter görs tillgängliga för andra vårdgivare och vårdgivarens skyldighet att då spärra uppgifterna.</w:t>
      </w:r>
    </w:p>
    <w:p w:rsidR="0017636F" w:rsidRPr="00A67E92" w:rsidRDefault="0017636F" w:rsidP="0017636F">
      <w:pPr>
        <w:spacing w:after="300"/>
        <w:rPr>
          <w:color w:val="1B1B19"/>
          <w:szCs w:val="24"/>
        </w:rPr>
      </w:pPr>
      <w:r w:rsidRPr="00A67E92">
        <w:rPr>
          <w:color w:val="1B1B19"/>
          <w:szCs w:val="24"/>
        </w:rPr>
        <w:t>För att en vårdgivare ska kunna behandla uppgifter som en annan vårdgivare gjort tillgängliga i systemet för sammanhållen journalföring krävs det att:</w:t>
      </w:r>
    </w:p>
    <w:p w:rsidR="0017636F" w:rsidRPr="00A67E92" w:rsidRDefault="0017636F" w:rsidP="0017636F">
      <w:pPr>
        <w:numPr>
          <w:ilvl w:val="0"/>
          <w:numId w:val="30"/>
        </w:numPr>
        <w:spacing w:before="100" w:beforeAutospacing="1" w:after="100" w:afterAutospacing="1"/>
        <w:ind w:left="495"/>
        <w:rPr>
          <w:color w:val="212529"/>
          <w:szCs w:val="24"/>
        </w:rPr>
      </w:pPr>
      <w:r w:rsidRPr="00A67E92">
        <w:rPr>
          <w:color w:val="212529"/>
          <w:szCs w:val="24"/>
        </w:rPr>
        <w:t>uppgifterna rör en patient som det finns en aktuell patientrelation med</w:t>
      </w:r>
    </w:p>
    <w:p w:rsidR="0017636F" w:rsidRPr="00A67E92" w:rsidRDefault="0017636F" w:rsidP="0017636F">
      <w:pPr>
        <w:numPr>
          <w:ilvl w:val="0"/>
          <w:numId w:val="30"/>
        </w:numPr>
        <w:spacing w:before="100" w:beforeAutospacing="1" w:after="100" w:afterAutospacing="1"/>
        <w:ind w:left="495"/>
        <w:rPr>
          <w:color w:val="212529"/>
          <w:szCs w:val="24"/>
        </w:rPr>
      </w:pPr>
      <w:r w:rsidRPr="00A67E92">
        <w:rPr>
          <w:color w:val="212529"/>
          <w:szCs w:val="24"/>
        </w:rPr>
        <w:t>uppgifterna kan antas ha betydelse för att förebygga, utreda eller behandla sjukdomar och skador hos patienten inom hälso- och sjukvården, och</w:t>
      </w:r>
    </w:p>
    <w:p w:rsidR="0017636F" w:rsidRPr="00A67E92" w:rsidRDefault="0017636F" w:rsidP="0017636F">
      <w:pPr>
        <w:numPr>
          <w:ilvl w:val="0"/>
          <w:numId w:val="30"/>
        </w:numPr>
        <w:spacing w:before="100" w:beforeAutospacing="1" w:after="100" w:afterAutospacing="1"/>
        <w:ind w:left="495"/>
        <w:rPr>
          <w:color w:val="212529"/>
          <w:szCs w:val="24"/>
          <w:lang w:val="en"/>
        </w:rPr>
      </w:pPr>
      <w:proofErr w:type="spellStart"/>
      <w:proofErr w:type="gramStart"/>
      <w:r w:rsidRPr="00A67E92">
        <w:rPr>
          <w:color w:val="212529"/>
          <w:szCs w:val="24"/>
          <w:lang w:val="en"/>
        </w:rPr>
        <w:t>patienten</w:t>
      </w:r>
      <w:proofErr w:type="spellEnd"/>
      <w:proofErr w:type="gramEnd"/>
      <w:r w:rsidRPr="00A67E92">
        <w:rPr>
          <w:color w:val="212529"/>
          <w:szCs w:val="24"/>
          <w:lang w:val="en"/>
        </w:rPr>
        <w:t xml:space="preserve"> </w:t>
      </w:r>
      <w:proofErr w:type="spellStart"/>
      <w:r w:rsidRPr="00A67E92">
        <w:rPr>
          <w:color w:val="212529"/>
          <w:szCs w:val="24"/>
          <w:lang w:val="en"/>
        </w:rPr>
        <w:t>samtycker</w:t>
      </w:r>
      <w:proofErr w:type="spellEnd"/>
      <w:r w:rsidRPr="00A67E92">
        <w:rPr>
          <w:color w:val="212529"/>
          <w:szCs w:val="24"/>
          <w:lang w:val="en"/>
        </w:rPr>
        <w:t xml:space="preserve"> till det.</w:t>
      </w:r>
    </w:p>
    <w:p w:rsidR="0017636F" w:rsidRPr="00A67E92" w:rsidRDefault="0017636F" w:rsidP="0017636F">
      <w:pPr>
        <w:spacing w:after="300"/>
        <w:rPr>
          <w:color w:val="1B1B19"/>
          <w:szCs w:val="24"/>
        </w:rPr>
      </w:pPr>
      <w:r w:rsidRPr="00A67E92">
        <w:rPr>
          <w:color w:val="1B1B19"/>
          <w:szCs w:val="24"/>
        </w:rPr>
        <w:t>Om dessa förutsättningar är uppfyllda får användaren ta del av uppgifterna genom att göra ett aktivt val i journalsystemet. Det aktiva valet bekräftar att användaren bedömt att förutsättningarna är uppfyllda. En vårdgivare som får tillgång till uppgifter genom sammanhållen journalföring är personuppgiftsansvarig för den behandling av personuppgifter som sker i verksamheten och ansvarar för att uppgifterna hanteras enligt reglerna i patientdatalagen.</w:t>
      </w:r>
    </w:p>
    <w:p w:rsidR="0017636F" w:rsidRPr="00A67E92" w:rsidRDefault="0017636F" w:rsidP="0017636F">
      <w:pPr>
        <w:spacing w:after="300"/>
        <w:rPr>
          <w:color w:val="1B1B19"/>
          <w:szCs w:val="24"/>
        </w:rPr>
      </w:pPr>
      <w:r w:rsidRPr="00A67E92">
        <w:rPr>
          <w:color w:val="1B1B19"/>
          <w:szCs w:val="24"/>
        </w:rPr>
        <w:t>Vårdgivaren ansvarar då för att behörigheten för åtkomst till patientuppgifter begränsas till vad vårdpersonal behöver för att kunna utföra sina arbetsuppgifter inom hälso- och sjukvården, och för att uppföljning av loggar sker.</w:t>
      </w:r>
    </w:p>
    <w:p w:rsidR="0017636F" w:rsidRPr="00BE0CDC" w:rsidRDefault="0017636F" w:rsidP="0017636F">
      <w:pPr>
        <w:pStyle w:val="Brdtext"/>
        <w:ind w:right="-907"/>
      </w:pPr>
    </w:p>
    <w:p w:rsidR="0017636F" w:rsidRPr="002114DA" w:rsidRDefault="0017636F" w:rsidP="0089022A">
      <w:pPr>
        <w:pStyle w:val="Brdtext"/>
        <w:ind w:right="-511"/>
        <w:rPr>
          <w:rFonts w:ascii="Times New Roman" w:hAnsi="Times New Roman"/>
        </w:rPr>
      </w:pPr>
    </w:p>
    <w:p w:rsidR="0089022A" w:rsidRPr="002114DA" w:rsidRDefault="0089022A" w:rsidP="0089022A">
      <w:pPr>
        <w:pStyle w:val="Rubrik2"/>
        <w:numPr>
          <w:ilvl w:val="1"/>
          <w:numId w:val="1"/>
        </w:numPr>
        <w:ind w:right="-511"/>
        <w:rPr>
          <w:b w:val="0"/>
        </w:rPr>
      </w:pPr>
      <w:r w:rsidRPr="002114DA">
        <w:rPr>
          <w:b w:val="0"/>
        </w:rPr>
        <w:t xml:space="preserve">Kostnadsansvar </w:t>
      </w:r>
    </w:p>
    <w:p w:rsidR="0089022A" w:rsidRPr="005E63EB" w:rsidRDefault="0089022A" w:rsidP="0089022A">
      <w:pPr>
        <w:tabs>
          <w:tab w:val="left" w:pos="8280"/>
        </w:tabs>
        <w:ind w:right="-511"/>
      </w:pPr>
      <w:r>
        <w:t>Leverantöre</w:t>
      </w:r>
      <w:r w:rsidRPr="00614ECA">
        <w:t xml:space="preserve">n </w:t>
      </w:r>
      <w:r>
        <w:t xml:space="preserve">har kostnadsansvar för allt förbrukningsmaterial, läkemedel (exkl. </w:t>
      </w:r>
      <w:r w:rsidRPr="005E63EB">
        <w:t xml:space="preserve">biologiska läkemedel) och medicinsk service. </w:t>
      </w:r>
    </w:p>
    <w:p w:rsidR="0089022A" w:rsidRDefault="0089022A" w:rsidP="0089022A">
      <w:pPr>
        <w:tabs>
          <w:tab w:val="left" w:pos="8280"/>
        </w:tabs>
        <w:ind w:right="-511"/>
      </w:pPr>
    </w:p>
    <w:p w:rsidR="0089022A" w:rsidRDefault="0089022A" w:rsidP="0089022A">
      <w:pPr>
        <w:pStyle w:val="Rubrik2"/>
        <w:numPr>
          <w:ilvl w:val="1"/>
          <w:numId w:val="1"/>
        </w:numPr>
        <w:ind w:right="-511"/>
        <w:rPr>
          <w:b w:val="0"/>
        </w:rPr>
      </w:pPr>
      <w:r>
        <w:rPr>
          <w:b w:val="0"/>
        </w:rPr>
        <w:t>Patientnämnden</w:t>
      </w:r>
    </w:p>
    <w:p w:rsidR="0089022A" w:rsidRPr="00132CE4" w:rsidRDefault="0089022A" w:rsidP="0089022A">
      <w:pPr>
        <w:ind w:right="-511"/>
      </w:pPr>
      <w:r>
        <w:t xml:space="preserve">Vårdenheten ska aktivt bistå Patientnämnden i utredning av enskilda patientärenden och tillvarata Patientnämndernas erfarenheter i det interna kvalitetsarbetet. Vårdenheten ska tillhandahålla aktuellt informationsmaterial från Patientnämnden i väntrummet. </w:t>
      </w:r>
    </w:p>
    <w:p w:rsidR="0089022A" w:rsidRPr="00EB2A4C" w:rsidRDefault="0089022A" w:rsidP="0089022A">
      <w:pPr>
        <w:pStyle w:val="Rubrik2"/>
        <w:numPr>
          <w:ilvl w:val="1"/>
          <w:numId w:val="1"/>
        </w:numPr>
        <w:ind w:right="-511"/>
        <w:rPr>
          <w:b w:val="0"/>
        </w:rPr>
      </w:pPr>
      <w:r w:rsidRPr="00EB2A4C">
        <w:rPr>
          <w:b w:val="0"/>
        </w:rPr>
        <w:t>IT-tjänster</w:t>
      </w:r>
    </w:p>
    <w:p w:rsidR="0089022A" w:rsidRDefault="0089022A" w:rsidP="0089022A">
      <w:pPr>
        <w:ind w:right="-511"/>
      </w:pPr>
      <w:r>
        <w:t>Leverantöre</w:t>
      </w:r>
      <w:r w:rsidRPr="002E63E1">
        <w:t>n skal</w:t>
      </w:r>
      <w:r>
        <w:t xml:space="preserve">l ansluta sig </w:t>
      </w:r>
      <w:r w:rsidR="008D0E0C">
        <w:t>till regionens</w:t>
      </w:r>
      <w:r>
        <w:t xml:space="preserve"> </w:t>
      </w:r>
      <w:r w:rsidRPr="002E63E1">
        <w:t xml:space="preserve">IT-tjänster enligt förutsättningarna i </w:t>
      </w:r>
      <w:r>
        <w:t>Regelboken.</w:t>
      </w:r>
      <w:r w:rsidR="002114DA">
        <w:t xml:space="preserve"> Leverantören betalar löpande månadsvis för hyrd IT-utrustning enligt gällande priser. </w:t>
      </w:r>
    </w:p>
    <w:p w:rsidR="0089022A" w:rsidRDefault="0089022A" w:rsidP="0089022A">
      <w:pPr>
        <w:ind w:right="-511"/>
      </w:pPr>
    </w:p>
    <w:p w:rsidR="0089022A" w:rsidRPr="00CC2EA8" w:rsidRDefault="0089022A" w:rsidP="0089022A">
      <w:pPr>
        <w:pStyle w:val="Rubrik1"/>
        <w:numPr>
          <w:ilvl w:val="0"/>
          <w:numId w:val="1"/>
        </w:numPr>
        <w:spacing w:after="120"/>
        <w:ind w:right="-511"/>
      </w:pPr>
      <w:r w:rsidRPr="00CC2EA8">
        <w:t xml:space="preserve">Försäkringar, ansvar och </w:t>
      </w:r>
      <w:proofErr w:type="gramStart"/>
      <w:r w:rsidRPr="00CC2EA8">
        <w:t>åligganden</w:t>
      </w:r>
      <w:proofErr w:type="gramEnd"/>
      <w:r w:rsidRPr="00CC2EA8">
        <w:t xml:space="preserve"> </w:t>
      </w:r>
    </w:p>
    <w:p w:rsidR="003C64AF" w:rsidRDefault="003C64AF" w:rsidP="005F2101">
      <w:pPr>
        <w:ind w:right="-511"/>
      </w:pPr>
      <w:r>
        <w:t>Leverantörens ska teckna och under avtalstiden upprätthålla försäkringar som täcker alla de förluster för vilka ersättning kan komma att utkrävas enligt Avtalet.</w:t>
      </w:r>
    </w:p>
    <w:p w:rsidR="003C64AF" w:rsidRDefault="003C64AF" w:rsidP="005F2101">
      <w:pPr>
        <w:ind w:right="-511"/>
      </w:pPr>
    </w:p>
    <w:p w:rsidR="003C64AF" w:rsidRDefault="003C64AF" w:rsidP="005F2101">
      <w:pPr>
        <w:ind w:right="-511"/>
      </w:pPr>
      <w:r>
        <w:t xml:space="preserve">Leverantören ska kunna styrka att aktuella försäkringar är tecknade </w:t>
      </w:r>
      <w:r w:rsidR="005E63EB">
        <w:t xml:space="preserve">genom att </w:t>
      </w:r>
      <w:proofErr w:type="gramStart"/>
      <w:r w:rsidR="005E63EB">
        <w:t>tillställa</w:t>
      </w:r>
      <w:proofErr w:type="gramEnd"/>
      <w:r w:rsidR="005E63EB">
        <w:t xml:space="preserve"> Region Kronoberg</w:t>
      </w:r>
      <w:r>
        <w:t xml:space="preserve"> kopia på f</w:t>
      </w:r>
      <w:r w:rsidR="005E63EB">
        <w:t>örsäkringsbrev vid Regionens</w:t>
      </w:r>
      <w:r>
        <w:t xml:space="preserve"> begäran.</w:t>
      </w:r>
    </w:p>
    <w:p w:rsidR="003C64AF" w:rsidRDefault="003C64AF" w:rsidP="005F2101">
      <w:pPr>
        <w:ind w:right="-511"/>
      </w:pPr>
    </w:p>
    <w:p w:rsidR="003C64AF" w:rsidRPr="00E7090E" w:rsidRDefault="003C64AF" w:rsidP="005F2101">
      <w:pPr>
        <w:ind w:right="-511"/>
      </w:pPr>
      <w:r w:rsidRPr="00E7090E">
        <w:t>För den verksamhet som bedrivs enligt detta avtal gäller Region Kronobergs patient-försäk</w:t>
      </w:r>
      <w:r w:rsidRPr="00E7090E">
        <w:softHyphen/>
        <w:t xml:space="preserve">ring med Landstingens Ömsesidiga Försäkringsbolag (LÖF). </w:t>
      </w:r>
    </w:p>
    <w:p w:rsidR="003C64AF" w:rsidRPr="008A50A6" w:rsidRDefault="003C64AF" w:rsidP="005F2101">
      <w:pPr>
        <w:ind w:right="-511"/>
      </w:pPr>
    </w:p>
    <w:p w:rsidR="003C64AF" w:rsidRDefault="003C64AF" w:rsidP="005F2101">
      <w:pPr>
        <w:ind w:right="-511"/>
      </w:pPr>
      <w:r w:rsidRPr="008A50A6">
        <w:t>Leverantören har skyldighet att utan kostnad</w:t>
      </w:r>
      <w:r>
        <w:t xml:space="preserve"> och utan dröjsmål</w:t>
      </w:r>
      <w:r w:rsidRPr="008A50A6">
        <w:t xml:space="preserve"> </w:t>
      </w:r>
      <w:r>
        <w:t>tillhandahålla den utredning som försäkringsgivaren behöver för sin handläggning av patientskadefall.</w:t>
      </w:r>
    </w:p>
    <w:p w:rsidR="003C64AF" w:rsidRDefault="003C64AF" w:rsidP="005F2101">
      <w:pPr>
        <w:ind w:right="-511"/>
      </w:pPr>
    </w:p>
    <w:p w:rsidR="0089022A" w:rsidRDefault="00941ACE" w:rsidP="005F2101">
      <w:pPr>
        <w:ind w:right="-511"/>
      </w:pPr>
      <w:r>
        <w:t>Leverantören ansvarar för u</w:t>
      </w:r>
      <w:r w:rsidR="0089022A">
        <w:t xml:space="preserve">nderleverantör såsom för eget åtagande. </w:t>
      </w:r>
    </w:p>
    <w:p w:rsidR="0089022A" w:rsidRDefault="0089022A" w:rsidP="005F2101">
      <w:pPr>
        <w:ind w:right="-511"/>
      </w:pPr>
    </w:p>
    <w:p w:rsidR="0089022A" w:rsidRPr="009F6AC2" w:rsidRDefault="0089022A" w:rsidP="0089022A">
      <w:pPr>
        <w:ind w:right="-511"/>
      </w:pPr>
      <w:r>
        <w:t xml:space="preserve">Leverantören ska från tid till annan fullgöra samtliga </w:t>
      </w:r>
      <w:proofErr w:type="gramStart"/>
      <w:r>
        <w:t>åligganden</w:t>
      </w:r>
      <w:proofErr w:type="gramEnd"/>
      <w:r>
        <w:t xml:space="preserve"> avseende inbetalning av socialförsäkringar, skatter och avgifter. </w:t>
      </w:r>
    </w:p>
    <w:p w:rsidR="0089022A" w:rsidRPr="000B34DD" w:rsidRDefault="0089022A" w:rsidP="0089022A">
      <w:pPr>
        <w:pStyle w:val="Brdtext"/>
        <w:ind w:right="-511"/>
        <w:rPr>
          <w:szCs w:val="24"/>
        </w:rPr>
      </w:pPr>
      <w:bookmarkStart w:id="7" w:name="OLE_LINK2"/>
    </w:p>
    <w:bookmarkEnd w:id="7"/>
    <w:p w:rsidR="0089022A" w:rsidRPr="00F05C8F" w:rsidRDefault="0089022A" w:rsidP="0089022A">
      <w:pPr>
        <w:pStyle w:val="Rubrik1"/>
        <w:numPr>
          <w:ilvl w:val="0"/>
          <w:numId w:val="1"/>
        </w:numPr>
        <w:spacing w:after="120"/>
        <w:ind w:right="-511"/>
      </w:pPr>
      <w:r>
        <w:t xml:space="preserve">Anlitande av Underleverantör </w:t>
      </w:r>
    </w:p>
    <w:p w:rsidR="0089022A" w:rsidRDefault="0089022A" w:rsidP="0089022A">
      <w:pPr>
        <w:ind w:right="-511"/>
      </w:pPr>
      <w:r>
        <w:t>Leverantören får inte utan regionens</w:t>
      </w:r>
      <w:r w:rsidR="00941ACE">
        <w:t xml:space="preserve"> skriftliga godkännande anlita u</w:t>
      </w:r>
      <w:r>
        <w:t xml:space="preserve">nderleverantörer/samarbetspartners för att utföra del av uppdraget. </w:t>
      </w:r>
    </w:p>
    <w:p w:rsidR="0089022A" w:rsidRDefault="0089022A" w:rsidP="0089022A">
      <w:pPr>
        <w:ind w:right="-511"/>
      </w:pPr>
    </w:p>
    <w:p w:rsidR="0089022A" w:rsidRDefault="00941ACE" w:rsidP="0089022A">
      <w:pPr>
        <w:ind w:right="-511"/>
      </w:pPr>
      <w:r>
        <w:t>Underlåter l</w:t>
      </w:r>
      <w:r w:rsidR="0089022A">
        <w:t xml:space="preserve">everantören att inhämta sådant godkännande äger </w:t>
      </w:r>
      <w:r w:rsidR="00725FE4">
        <w:t>Region Kronoberg</w:t>
      </w:r>
      <w:r w:rsidR="0089022A">
        <w:t xml:space="preserve"> rätt att säga upp avtalet till förtida upphörande enligt punkt 13. </w:t>
      </w:r>
    </w:p>
    <w:p w:rsidR="0089022A" w:rsidRDefault="0089022A" w:rsidP="0089022A">
      <w:pPr>
        <w:ind w:right="-511"/>
      </w:pPr>
    </w:p>
    <w:p w:rsidR="0089022A" w:rsidRDefault="0089022A" w:rsidP="0089022A">
      <w:pPr>
        <w:ind w:right="-511"/>
      </w:pPr>
      <w:r w:rsidRPr="004C25C7">
        <w:t xml:space="preserve">Vårdenheten/leverantören ansvarar för underleverantörens </w:t>
      </w:r>
      <w:r w:rsidR="008D0E0C" w:rsidRPr="004C25C7">
        <w:t>åtaganden</w:t>
      </w:r>
      <w:r w:rsidRPr="004C25C7">
        <w:t xml:space="preserve"> och eventuella underlåtenhet på</w:t>
      </w:r>
      <w:r>
        <w:t xml:space="preserve"> samma sätt som vårdenheten ansvarar för egen verksamhet. Vårdenheten ska ansvara för att underleverantörer har </w:t>
      </w:r>
      <w:proofErr w:type="gramStart"/>
      <w:r>
        <w:t>erforderlig</w:t>
      </w:r>
      <w:proofErr w:type="gramEnd"/>
      <w:r>
        <w:t xml:space="preserve"> kompetens och kvalitet och fullfölja sitt åtagande i enlighet med uppdragsbeskrivningen i förfrågningsunderlaget. Region Kronoberg har ingen relation till underleverantören, endast med vårdenheten.</w:t>
      </w:r>
    </w:p>
    <w:p w:rsidR="0089022A" w:rsidRDefault="0089022A" w:rsidP="0089022A">
      <w:pPr>
        <w:tabs>
          <w:tab w:val="left" w:pos="8640"/>
        </w:tabs>
        <w:ind w:right="-511"/>
      </w:pPr>
    </w:p>
    <w:p w:rsidR="00304A4A" w:rsidRPr="00857AA6" w:rsidRDefault="00304A4A" w:rsidP="005F2101">
      <w:pPr>
        <w:pStyle w:val="Rubrik1"/>
        <w:numPr>
          <w:ilvl w:val="0"/>
          <w:numId w:val="29"/>
        </w:numPr>
        <w:spacing w:after="240"/>
        <w:ind w:right="-964"/>
      </w:pPr>
      <w:r>
        <w:t>Ändrade ägar</w:t>
      </w:r>
      <w:r w:rsidRPr="00857AA6">
        <w:t xml:space="preserve">förhållanden </w:t>
      </w:r>
    </w:p>
    <w:p w:rsidR="00304A4A" w:rsidRDefault="00304A4A" w:rsidP="005F2101">
      <w:pPr>
        <w:ind w:right="-964"/>
      </w:pPr>
      <w:r w:rsidRPr="00857AA6">
        <w:t>Väsentliga förändringar avseende ägarförhållanden hos leverantören eller</w:t>
      </w:r>
      <w:r w:rsidR="00941ACE">
        <w:t xml:space="preserve"> leverantörens moderbolag, ska</w:t>
      </w:r>
      <w:r w:rsidRPr="00857AA6">
        <w:t xml:space="preserve"> utan dröjsmål skriftligen anmälas till beställaren.</w:t>
      </w:r>
      <w:r w:rsidR="00941ACE">
        <w:t xml:space="preserve"> På begäran av beställaren ska</w:t>
      </w:r>
      <w:r w:rsidRPr="00857AA6">
        <w:t xml:space="preserve"> leverantören lämna ytterligare information om de nya ägarförhållandena och om leverantörens möjligheter att uppfylla Avtalet. Beställarens godkännande avd en nya </w:t>
      </w:r>
      <w:proofErr w:type="gramStart"/>
      <w:r w:rsidRPr="00857AA6">
        <w:t>ägaren</w:t>
      </w:r>
      <w:proofErr w:type="gramEnd"/>
      <w:r w:rsidRPr="00857AA6">
        <w:t xml:space="preserve"> krävs för avtalets fortsatta giltighet.</w:t>
      </w:r>
      <w:r>
        <w:t xml:space="preserve"> </w:t>
      </w:r>
    </w:p>
    <w:p w:rsidR="0089022A" w:rsidRPr="00777125" w:rsidRDefault="0089022A" w:rsidP="0089022A">
      <w:pPr>
        <w:ind w:right="-511"/>
      </w:pPr>
    </w:p>
    <w:p w:rsidR="0089022A" w:rsidRDefault="0089022A" w:rsidP="0089022A">
      <w:pPr>
        <w:pStyle w:val="Rubrik1"/>
        <w:numPr>
          <w:ilvl w:val="0"/>
          <w:numId w:val="1"/>
        </w:numPr>
        <w:spacing w:after="120"/>
        <w:ind w:right="-511"/>
      </w:pPr>
      <w:r>
        <w:t>Befrielsegrunder</w:t>
      </w:r>
    </w:p>
    <w:p w:rsidR="0089022A" w:rsidRDefault="00941ACE" w:rsidP="0089022A">
      <w:pPr>
        <w:ind w:right="-511" w:firstLine="1"/>
      </w:pPr>
      <w:r>
        <w:t xml:space="preserve">Vardera </w:t>
      </w:r>
      <w:proofErr w:type="gramStart"/>
      <w:r>
        <w:t>part</w:t>
      </w:r>
      <w:proofErr w:type="gramEnd"/>
      <w:r>
        <w:t xml:space="preserve"> i detta avtal</w:t>
      </w:r>
      <w:r w:rsidR="0089022A" w:rsidRPr="007156D3">
        <w:t xml:space="preserve"> är befriad från sina åtaganden om denne visar att det inträffat ett hinder utanför dennes kontroll som denne inte skäligen kunde förväntas ha räknat med vid avtalets ingående och vars följder denne inte heller skäligen kunde ha undvikit eller övervunnit. Beror hindret på någon som part anlitat för att fullgöra del av uppdraget, är parten fri från sina åtaganden endast om också den som anlitats kan visa på att hindret beror på nämnda befrielsegrunder.</w:t>
      </w:r>
      <w:r w:rsidR="0089022A">
        <w:t xml:space="preserve"> </w:t>
      </w:r>
    </w:p>
    <w:p w:rsidR="0089022A" w:rsidRPr="007156D3" w:rsidRDefault="0089022A" w:rsidP="0089022A">
      <w:pPr>
        <w:ind w:right="-511"/>
      </w:pPr>
    </w:p>
    <w:p w:rsidR="0089022A" w:rsidRPr="007156D3" w:rsidRDefault="0089022A" w:rsidP="0089022A">
      <w:pPr>
        <w:ind w:right="-511"/>
      </w:pPr>
      <w:r w:rsidRPr="007156D3">
        <w:t>Part som påkallar befriels</w:t>
      </w:r>
      <w:r w:rsidR="00941ACE">
        <w:t>egrund enligt stycket ovan ska</w:t>
      </w:r>
      <w:r w:rsidRPr="007156D3">
        <w:t xml:space="preserve"> utan dröjsmål skriftligen </w:t>
      </w:r>
      <w:r w:rsidR="00941ACE">
        <w:t xml:space="preserve">meddela den andra parten </w:t>
      </w:r>
      <w:proofErr w:type="gramStart"/>
      <w:r w:rsidR="00941ACE">
        <w:t>därom</w:t>
      </w:r>
      <w:proofErr w:type="gramEnd"/>
      <w:r w:rsidR="00941ACE">
        <w:t xml:space="preserve">. </w:t>
      </w:r>
      <w:r w:rsidRPr="007156D3">
        <w:t>Part skall vidta skäliga ansträngningar för att mildra omfattningen och effekt</w:t>
      </w:r>
      <w:r w:rsidR="00941ACE">
        <w:t>en av befrielsegrund. Part ska</w:t>
      </w:r>
      <w:r w:rsidRPr="007156D3">
        <w:t xml:space="preserve"> återuppta fullgörandet av de förpliktelser som förhindrats eller försenats så snart det praktiskt kan ske. </w:t>
      </w:r>
    </w:p>
    <w:p w:rsidR="0089022A" w:rsidRDefault="0089022A" w:rsidP="0089022A">
      <w:pPr>
        <w:ind w:right="-511"/>
        <w:rPr>
          <w:highlight w:val="green"/>
        </w:rPr>
      </w:pPr>
    </w:p>
    <w:p w:rsidR="0089022A" w:rsidRDefault="0089022A" w:rsidP="0089022A">
      <w:pPr>
        <w:ind w:right="-511"/>
      </w:pPr>
      <w:r w:rsidRPr="007156D3">
        <w:t>Arbetskonflikt som har sin grund i brott mot kollektivavtal får inte åberopas som befrielsegrund.</w:t>
      </w:r>
    </w:p>
    <w:p w:rsidR="0089022A" w:rsidRDefault="0089022A" w:rsidP="0089022A">
      <w:pPr>
        <w:ind w:right="-511"/>
      </w:pPr>
    </w:p>
    <w:p w:rsidR="0089022A" w:rsidRDefault="0089022A" w:rsidP="0089022A">
      <w:pPr>
        <w:ind w:right="-511"/>
      </w:pPr>
      <w:r w:rsidRPr="007156D3">
        <w:t>Oavsett vad som i övrigt gäller enligt detta avtal, får vardera parten häva avtalet genom skriftligt meddelande till andra part</w:t>
      </w:r>
      <w:r>
        <w:t>en, om hindret bestått mer än tre</w:t>
      </w:r>
      <w:r w:rsidRPr="007156D3">
        <w:t xml:space="preserve"> månader av befrielsegrund som nämnts ovan.</w:t>
      </w:r>
    </w:p>
    <w:p w:rsidR="0089022A" w:rsidRPr="00777125" w:rsidRDefault="0089022A" w:rsidP="0089022A">
      <w:pPr>
        <w:ind w:right="-511"/>
      </w:pPr>
    </w:p>
    <w:p w:rsidR="00D00A87" w:rsidRDefault="00D00A87" w:rsidP="00D00A87">
      <w:pPr>
        <w:pStyle w:val="Rubrik1"/>
        <w:spacing w:after="120"/>
        <w:ind w:right="-511"/>
      </w:pPr>
    </w:p>
    <w:p w:rsidR="0089022A" w:rsidRDefault="0089022A" w:rsidP="0089022A">
      <w:pPr>
        <w:pStyle w:val="Rubrik1"/>
        <w:numPr>
          <w:ilvl w:val="0"/>
          <w:numId w:val="1"/>
        </w:numPr>
        <w:spacing w:after="120"/>
        <w:ind w:right="-511"/>
      </w:pPr>
      <w:r>
        <w:t>Ändringar och tillägg</w:t>
      </w:r>
    </w:p>
    <w:p w:rsidR="0089022A" w:rsidRDefault="0089022A" w:rsidP="0089022A">
      <w:pPr>
        <w:ind w:right="-511"/>
      </w:pPr>
      <w:r>
        <w:t>Ändringar och tillägg i detta avtal ska</w:t>
      </w:r>
      <w:r w:rsidR="00D00A87">
        <w:t xml:space="preserve"> för att gälla</w:t>
      </w:r>
      <w:r>
        <w:t xml:space="preserve"> vara skriftliga och undertecknande av behöriga företrädare för båda parter.</w:t>
      </w:r>
    </w:p>
    <w:p w:rsidR="0089022A" w:rsidRPr="00820DB8" w:rsidRDefault="0089022A" w:rsidP="0089022A">
      <w:pPr>
        <w:ind w:right="-511"/>
      </w:pPr>
    </w:p>
    <w:p w:rsidR="0089022A" w:rsidRPr="00614ECA" w:rsidRDefault="0089022A" w:rsidP="0089022A">
      <w:pPr>
        <w:pStyle w:val="Rubrik1"/>
        <w:numPr>
          <w:ilvl w:val="0"/>
          <w:numId w:val="1"/>
        </w:numPr>
        <w:spacing w:after="120"/>
        <w:ind w:right="-511"/>
      </w:pPr>
      <w:r w:rsidRPr="00614ECA">
        <w:t>Förändrade villkor avseende Regelboken</w:t>
      </w:r>
    </w:p>
    <w:p w:rsidR="0089022A" w:rsidRDefault="00D00A87" w:rsidP="0089022A">
      <w:pPr>
        <w:ind w:right="-511"/>
      </w:pPr>
      <w:bookmarkStart w:id="8" w:name="OLE_LINK4"/>
      <w:r>
        <w:t>Region Kronoberg</w:t>
      </w:r>
      <w:r w:rsidR="0089022A" w:rsidRPr="00F40B8E">
        <w:t xml:space="preserve"> </w:t>
      </w:r>
      <w:r w:rsidR="0089022A">
        <w:t>kan komma</w:t>
      </w:r>
      <w:r w:rsidR="0089022A" w:rsidRPr="00F40B8E">
        <w:t xml:space="preserve"> att förändra </w:t>
      </w:r>
      <w:r w:rsidR="0089022A">
        <w:t xml:space="preserve">villkoren i Regelboken. </w:t>
      </w:r>
    </w:p>
    <w:p w:rsidR="0089022A" w:rsidRDefault="0089022A" w:rsidP="0089022A">
      <w:pPr>
        <w:ind w:right="-511"/>
      </w:pPr>
    </w:p>
    <w:p w:rsidR="0089022A" w:rsidRDefault="0089022A" w:rsidP="0089022A">
      <w:pPr>
        <w:ind w:right="-511"/>
      </w:pPr>
      <w:r>
        <w:t>Så snart regionfullmäktige har fattat beslut om ändr</w:t>
      </w:r>
      <w:r w:rsidR="00D00A87">
        <w:t>ing av villkoren i avtalet ska Region Kronoberg skriftligen informera l</w:t>
      </w:r>
      <w:r>
        <w:t>ever</w:t>
      </w:r>
      <w:r w:rsidR="00D00A87">
        <w:t>antören om dessa ändringar. Om l</w:t>
      </w:r>
      <w:r>
        <w:t>everantören inte vill bli bunde</w:t>
      </w:r>
      <w:r w:rsidR="00D00A87">
        <w:t>n av de ändrade villkoren, ska l</w:t>
      </w:r>
      <w:r>
        <w:t>everantören inom 60 dagar från den tidpunkt ändringsmeddelandet avsänts,</w:t>
      </w:r>
      <w:r w:rsidR="00D00A87">
        <w:t xml:space="preserve"> skriftligen meddela Regionen</w:t>
      </w:r>
      <w:r>
        <w:t xml:space="preserve"> att de ändrade villkoren inte accepteras. Om sådant meddelande inte mottagits av </w:t>
      </w:r>
      <w:r w:rsidR="00D00A87">
        <w:t>Regionen inom angiven tidsfrist blir l</w:t>
      </w:r>
      <w:r w:rsidRPr="002114DA">
        <w:t>everantören bunden av de ändrade villkoren per den 1 januari nästkommande år (</w:t>
      </w:r>
      <w:r w:rsidR="008D0E0C" w:rsidRPr="002114DA">
        <w:t>d.v.s.</w:t>
      </w:r>
      <w:r w:rsidRPr="002114DA">
        <w:t xml:space="preserve"> det år </w:t>
      </w:r>
      <w:r w:rsidRPr="004C25C7">
        <w:t>som följer efter att 60-dagarsfristen löpt ut).</w:t>
      </w:r>
      <w:r>
        <w:t xml:space="preserve"> </w:t>
      </w:r>
    </w:p>
    <w:p w:rsidR="0089022A" w:rsidRDefault="0089022A" w:rsidP="0089022A">
      <w:pPr>
        <w:ind w:right="-511"/>
      </w:pPr>
    </w:p>
    <w:p w:rsidR="0089022A" w:rsidRDefault="00D00A87" w:rsidP="0089022A">
      <w:pPr>
        <w:ind w:right="-511"/>
      </w:pPr>
      <w:r>
        <w:t>Om leverantören meddelar Regionen</w:t>
      </w:r>
      <w:r w:rsidR="00DB176E">
        <w:t xml:space="preserve"> att denne</w:t>
      </w:r>
      <w:r w:rsidR="0089022A">
        <w:t xml:space="preserve"> inte accepterar de ändrade villkoren upphör avtalet att gälla sex (6) månader efter utgången av 60-dagarsfristen. Under den återstående avtalstiden gäller Regelboken i sin lydelse före senast gjorda ändringar.</w:t>
      </w:r>
    </w:p>
    <w:bookmarkEnd w:id="8"/>
    <w:p w:rsidR="0089022A" w:rsidRDefault="0089022A" w:rsidP="0089022A">
      <w:pPr>
        <w:ind w:right="-511"/>
        <w:rPr>
          <w:szCs w:val="24"/>
        </w:rPr>
      </w:pPr>
    </w:p>
    <w:p w:rsidR="0089022A" w:rsidRDefault="0089022A" w:rsidP="0089022A">
      <w:pPr>
        <w:pStyle w:val="Rubrik1"/>
        <w:numPr>
          <w:ilvl w:val="0"/>
          <w:numId w:val="1"/>
        </w:numPr>
        <w:spacing w:after="120"/>
        <w:ind w:right="-511"/>
      </w:pPr>
      <w:r>
        <w:t xml:space="preserve">Förtida upphörande med eller utan rättelsefrist </w:t>
      </w:r>
    </w:p>
    <w:p w:rsidR="0089022A" w:rsidRDefault="0089022A" w:rsidP="0089022A">
      <w:pPr>
        <w:ind w:right="-511"/>
      </w:pPr>
      <w:r w:rsidRPr="007B1494">
        <w:t>Region Kronoberg har rätt att säga upp detta kontrakt till förtida upp</w:t>
      </w:r>
      <w:r>
        <w:t xml:space="preserve">hörande </w:t>
      </w:r>
      <w:r w:rsidR="00DB176E">
        <w:t>om l</w:t>
      </w:r>
      <w:r w:rsidRPr="007B1494">
        <w:t xml:space="preserve">everantören i något avseende brister i sina </w:t>
      </w:r>
      <w:proofErr w:type="gramStart"/>
      <w:r w:rsidRPr="007B1494">
        <w:t>åligganden</w:t>
      </w:r>
      <w:proofErr w:type="gramEnd"/>
      <w:r w:rsidRPr="007B1494">
        <w:t xml:space="preserve"> enligt detta </w:t>
      </w:r>
      <w:r>
        <w:t xml:space="preserve">avtal och rättelse inte sker </w:t>
      </w:r>
      <w:r w:rsidRPr="007B1494">
        <w:t>inom 30 dagar efter skriftlig</w:t>
      </w:r>
      <w:r w:rsidR="00DB176E">
        <w:t>t meddelande till denne.</w:t>
      </w:r>
    </w:p>
    <w:p w:rsidR="0089022A" w:rsidRDefault="0089022A" w:rsidP="0089022A">
      <w:pPr>
        <w:ind w:right="-511"/>
      </w:pPr>
    </w:p>
    <w:p w:rsidR="0089022A" w:rsidRDefault="0089022A" w:rsidP="0089022A">
      <w:pPr>
        <w:ind w:right="-511"/>
      </w:pPr>
      <w:r>
        <w:t xml:space="preserve">Region Kronoberg har till </w:t>
      </w:r>
      <w:r w:rsidRPr="007B1494">
        <w:t xml:space="preserve">exempel rätt att 30 dagar efter skriftligt meddelande till </w:t>
      </w:r>
      <w:r>
        <w:t xml:space="preserve">Leverantören säga upp </w:t>
      </w:r>
      <w:r w:rsidRPr="00DE544A">
        <w:t>avtalet</w:t>
      </w:r>
      <w:r w:rsidR="00DB176E" w:rsidRPr="00DE544A">
        <w:t xml:space="preserve"> med</w:t>
      </w:r>
      <w:r w:rsidRPr="00DE544A">
        <w:t xml:space="preserve"> </w:t>
      </w:r>
      <w:r w:rsidR="00DB176E" w:rsidRPr="00DE544A">
        <w:t>denne.</w:t>
      </w:r>
    </w:p>
    <w:p w:rsidR="0089022A" w:rsidRPr="007B1494" w:rsidRDefault="0089022A" w:rsidP="0089022A">
      <w:pPr>
        <w:ind w:right="-511"/>
      </w:pPr>
    </w:p>
    <w:p w:rsidR="0089022A" w:rsidRPr="00DB176E" w:rsidRDefault="0089022A" w:rsidP="0089022A">
      <w:pPr>
        <w:ind w:right="-511"/>
        <w:rPr>
          <w:color w:val="FF0000"/>
        </w:rPr>
      </w:pPr>
      <w:r w:rsidRPr="007B1494">
        <w:t xml:space="preserve">• vid utförandet av uppdraget agerar på sätt som </w:t>
      </w:r>
      <w:r>
        <w:t xml:space="preserve">Region Kronoberg </w:t>
      </w:r>
      <w:r w:rsidR="00DB176E">
        <w:t xml:space="preserve">bedömer rubbar </w:t>
      </w:r>
      <w:r w:rsidR="00DB176E" w:rsidRPr="00DE544A">
        <w:t>Regionens</w:t>
      </w:r>
      <w:r w:rsidRPr="00DE544A">
        <w:t xml:space="preserve"> </w:t>
      </w:r>
      <w:r w:rsidRPr="00DE544A">
        <w:rPr>
          <w:sz w:val="22"/>
        </w:rPr>
        <w:t>anseende eller bedömer rubbar f</w:t>
      </w:r>
      <w:r w:rsidR="00DB176E" w:rsidRPr="00DE544A">
        <w:rPr>
          <w:sz w:val="22"/>
        </w:rPr>
        <w:t>örtroendet för l</w:t>
      </w:r>
      <w:r w:rsidRPr="00DE544A">
        <w:rPr>
          <w:sz w:val="22"/>
        </w:rPr>
        <w:t xml:space="preserve">everantören och </w:t>
      </w:r>
      <w:r w:rsidR="00DB176E" w:rsidRPr="00DE544A">
        <w:rPr>
          <w:sz w:val="22"/>
        </w:rPr>
        <w:t>denne</w:t>
      </w:r>
      <w:r w:rsidRPr="00DE544A">
        <w:rPr>
          <w:sz w:val="22"/>
        </w:rPr>
        <w:t xml:space="preserve"> inte upphör med det och vidtar</w:t>
      </w:r>
      <w:r w:rsidR="00DB176E" w:rsidRPr="00DE544A">
        <w:rPr>
          <w:sz w:val="22"/>
        </w:rPr>
        <w:t xml:space="preserve"> anmodad</w:t>
      </w:r>
      <w:r w:rsidRPr="00DE544A">
        <w:rPr>
          <w:sz w:val="22"/>
        </w:rPr>
        <w:t xml:space="preserve"> rättelse inom 30 dagar efter skriftlig </w:t>
      </w:r>
      <w:proofErr w:type="gramStart"/>
      <w:r w:rsidRPr="00DE544A">
        <w:rPr>
          <w:sz w:val="22"/>
        </w:rPr>
        <w:t>anmodan</w:t>
      </w:r>
      <w:proofErr w:type="gramEnd"/>
      <w:r w:rsidRPr="00DE544A">
        <w:rPr>
          <w:sz w:val="22"/>
        </w:rPr>
        <w:t xml:space="preserve"> från Region Kronoberg</w:t>
      </w:r>
      <w:r w:rsidRPr="00DE544A">
        <w:t>,</w:t>
      </w:r>
    </w:p>
    <w:p w:rsidR="0089022A" w:rsidRPr="007B1494" w:rsidRDefault="0089022A" w:rsidP="0089022A">
      <w:pPr>
        <w:ind w:right="-511"/>
      </w:pPr>
    </w:p>
    <w:p w:rsidR="0089022A" w:rsidRDefault="0089022A" w:rsidP="0089022A">
      <w:pPr>
        <w:ind w:right="-511"/>
      </w:pPr>
      <w:r w:rsidRPr="007B1494">
        <w:t>• har en verksamhetschef ell</w:t>
      </w:r>
      <w:r>
        <w:t>er annan person vid vårdenheten</w:t>
      </w:r>
      <w:r w:rsidRPr="007B1494">
        <w:t xml:space="preserve"> so</w:t>
      </w:r>
      <w:r w:rsidR="00DB176E">
        <w:t xml:space="preserve">m enligt en </w:t>
      </w:r>
      <w:r>
        <w:t>dom</w:t>
      </w:r>
      <w:r w:rsidR="00DB176E">
        <w:t xml:space="preserve"> som fått laga kraft</w:t>
      </w:r>
      <w:r>
        <w:t xml:space="preserve"> </w:t>
      </w:r>
      <w:r w:rsidRPr="007B1494">
        <w:t>är dömd för brott inom ramen för sin yrkesutövning eller d</w:t>
      </w:r>
      <w:r>
        <w:t xml:space="preserve">ömts för </w:t>
      </w:r>
      <w:r w:rsidRPr="00DE544A">
        <w:t xml:space="preserve">annat brott ägnat att allvarligt rubba Region Kronobergs förtroende </w:t>
      </w:r>
      <w:r w:rsidR="0091431A" w:rsidRPr="00DE544A">
        <w:t>för l</w:t>
      </w:r>
      <w:r w:rsidRPr="00DE544A">
        <w:t>everantörens förmåga eller personliga lämplighet att fullfölja avtalet</w:t>
      </w:r>
      <w:r w:rsidR="0091431A" w:rsidRPr="00DE544A">
        <w:t xml:space="preserve"> och l</w:t>
      </w:r>
      <w:r w:rsidRPr="00DE544A">
        <w:t xml:space="preserve">everantören inte vidtar </w:t>
      </w:r>
      <w:proofErr w:type="gramStart"/>
      <w:r w:rsidRPr="00DE544A">
        <w:t>erforderliga</w:t>
      </w:r>
      <w:proofErr w:type="gramEnd"/>
      <w:r w:rsidRPr="00DE544A">
        <w:t xml:space="preserve"> åtgärder för att skilja vederbörande från uppdrag som berör detta avtal,</w:t>
      </w:r>
    </w:p>
    <w:p w:rsidR="0089022A" w:rsidRPr="007B1494" w:rsidRDefault="0089022A" w:rsidP="0089022A">
      <w:pPr>
        <w:ind w:right="-511"/>
      </w:pPr>
    </w:p>
    <w:p w:rsidR="0089022A" w:rsidRDefault="0089022A" w:rsidP="0089022A">
      <w:pPr>
        <w:ind w:right="-511"/>
      </w:pPr>
      <w:r w:rsidRPr="007B1494">
        <w:t>• åsidosätter bestämmelser i lagar, förordningar eller före</w:t>
      </w:r>
      <w:r>
        <w:t xml:space="preserve">skrifter som är av relevans för kontraktets fullgörande. </w:t>
      </w:r>
    </w:p>
    <w:p w:rsidR="0089022A" w:rsidRDefault="0089022A" w:rsidP="0089022A">
      <w:pPr>
        <w:ind w:right="-511"/>
      </w:pPr>
    </w:p>
    <w:p w:rsidR="0089022A" w:rsidRDefault="0089022A" w:rsidP="0089022A">
      <w:pPr>
        <w:ind w:right="-511"/>
      </w:pPr>
      <w:r>
        <w:t xml:space="preserve">Region </w:t>
      </w:r>
      <w:r w:rsidR="008D0E0C">
        <w:t>Kronoberg har</w:t>
      </w:r>
      <w:r w:rsidRPr="007B1494">
        <w:t xml:space="preserve"> rätt att säga upp detta k</w:t>
      </w:r>
      <w:r>
        <w:t xml:space="preserve">ontrakt med omedelbar verkan om </w:t>
      </w:r>
      <w:r w:rsidR="0091431A">
        <w:t>l</w:t>
      </w:r>
      <w:r w:rsidRPr="007B1494">
        <w:t>everantören i väsentligt hän</w:t>
      </w:r>
      <w:r w:rsidR="0091431A">
        <w:t>seende brister i sina skyldigheter enligt kontraktet.</w:t>
      </w:r>
      <w:r w:rsidRPr="007B1494">
        <w:t xml:space="preserve"> </w:t>
      </w:r>
      <w:r>
        <w:t xml:space="preserve">Region Kronoberg har till </w:t>
      </w:r>
      <w:r w:rsidRPr="007B1494">
        <w:t xml:space="preserve">exempel rätt att omedelbart säga upp </w:t>
      </w:r>
      <w:r w:rsidR="0091431A">
        <w:t>kontraktet om l</w:t>
      </w:r>
      <w:r w:rsidRPr="007B1494">
        <w:t>everantören:</w:t>
      </w:r>
    </w:p>
    <w:p w:rsidR="0089022A" w:rsidRPr="007B1494" w:rsidRDefault="0089022A" w:rsidP="0089022A">
      <w:pPr>
        <w:ind w:right="-511"/>
      </w:pPr>
    </w:p>
    <w:p w:rsidR="0089022A" w:rsidRDefault="0089022A" w:rsidP="0089022A">
      <w:pPr>
        <w:ind w:right="-511"/>
      </w:pPr>
      <w:r w:rsidRPr="007B1494">
        <w:t xml:space="preserve">• vid utförandet av uppdraget agerar på sätt som </w:t>
      </w:r>
      <w:r>
        <w:t xml:space="preserve">Region Kronoberg bedömer är så </w:t>
      </w:r>
      <w:r w:rsidRPr="007B1494">
        <w:t>allvarligt förtroendeskada</w:t>
      </w:r>
      <w:r>
        <w:t>nde att det enligt Region Kronoberg inte är skäligt att avtal</w:t>
      </w:r>
      <w:r w:rsidRPr="007B1494">
        <w:t>srelationen ska fortgå</w:t>
      </w:r>
      <w:r>
        <w:t>,</w:t>
      </w:r>
    </w:p>
    <w:p w:rsidR="0089022A" w:rsidRPr="007B1494" w:rsidRDefault="0089022A" w:rsidP="0089022A">
      <w:pPr>
        <w:ind w:right="-511"/>
      </w:pPr>
    </w:p>
    <w:p w:rsidR="0089022A" w:rsidRDefault="0089022A" w:rsidP="0089022A">
      <w:pPr>
        <w:ind w:right="-511"/>
      </w:pPr>
      <w:r w:rsidRPr="007B1494">
        <w:t>• saknar de tillstånd som krävs för utförandet av uppdraget</w:t>
      </w:r>
      <w:r>
        <w:t>,</w:t>
      </w:r>
    </w:p>
    <w:p w:rsidR="0089022A" w:rsidRPr="007B1494" w:rsidRDefault="0089022A" w:rsidP="0089022A">
      <w:pPr>
        <w:ind w:right="-511"/>
      </w:pPr>
    </w:p>
    <w:p w:rsidR="0089022A" w:rsidRPr="00DE544A" w:rsidRDefault="0091431A" w:rsidP="0089022A">
      <w:pPr>
        <w:ind w:right="-511"/>
      </w:pPr>
      <w:r w:rsidRPr="00DE544A">
        <w:t xml:space="preserve">• inte </w:t>
      </w:r>
      <w:r w:rsidR="0089022A" w:rsidRPr="00DE544A">
        <w:t>medverkar till granskning och uppföljning av verksamheten i enlighet med Regelboken.</w:t>
      </w:r>
    </w:p>
    <w:p w:rsidR="0089022A" w:rsidRDefault="0089022A" w:rsidP="0089022A">
      <w:pPr>
        <w:ind w:right="-511"/>
      </w:pPr>
    </w:p>
    <w:p w:rsidR="0089022A" w:rsidRDefault="0089022A" w:rsidP="0089022A">
      <w:pPr>
        <w:ind w:right="-511"/>
      </w:pPr>
      <w:r w:rsidRPr="007B1494">
        <w:t xml:space="preserve">Därtill har </w:t>
      </w:r>
      <w:r>
        <w:t xml:space="preserve">Region Kronoberg </w:t>
      </w:r>
      <w:r w:rsidRPr="007B1494">
        <w:t>möjlighet att säga upp kon</w:t>
      </w:r>
      <w:r>
        <w:t xml:space="preserve">traktet med omedelbar verkan om </w:t>
      </w:r>
      <w:r w:rsidRPr="007B1494">
        <w:t xml:space="preserve">någon av de omständigheter som anges i 7 kapitlet 1 § lag </w:t>
      </w:r>
      <w:r>
        <w:t xml:space="preserve">om valfrihetssystem föreligger. </w:t>
      </w:r>
    </w:p>
    <w:p w:rsidR="0091431A" w:rsidRDefault="0091431A" w:rsidP="0089022A">
      <w:pPr>
        <w:ind w:right="-511"/>
      </w:pPr>
    </w:p>
    <w:p w:rsidR="0089022A" w:rsidRPr="007B1494" w:rsidRDefault="0089022A" w:rsidP="0089022A">
      <w:pPr>
        <w:ind w:right="-511"/>
      </w:pPr>
      <w:r w:rsidRPr="007B1494">
        <w:t xml:space="preserve">Leverantören har rätt att säga upp detta </w:t>
      </w:r>
      <w:r>
        <w:t>avtal</w:t>
      </w:r>
      <w:r w:rsidRPr="007B1494">
        <w:t xml:space="preserve"> till o</w:t>
      </w:r>
      <w:r>
        <w:t>medelbart upphörande om Region Kronoberg</w:t>
      </w:r>
      <w:r w:rsidRPr="007B1494">
        <w:t xml:space="preserve"> är i dröjsmål med betalning och inte erlägger bet</w:t>
      </w:r>
      <w:r w:rsidR="00C41ACB">
        <w:t>alning till l</w:t>
      </w:r>
      <w:r>
        <w:t xml:space="preserve">everantören senast </w:t>
      </w:r>
      <w:r w:rsidRPr="007B1494">
        <w:t xml:space="preserve">30 dagar efter skriftlig </w:t>
      </w:r>
      <w:proofErr w:type="gramStart"/>
      <w:r w:rsidRPr="007B1494">
        <w:t>anmaning</w:t>
      </w:r>
      <w:proofErr w:type="gramEnd"/>
      <w:r w:rsidRPr="007B1494">
        <w:t xml:space="preserve"> därom. Dröjsmål med betalnin</w:t>
      </w:r>
      <w:r>
        <w:t>g omfattar inte åtgärder enligt § 13 i detta avtal</w:t>
      </w:r>
      <w:r w:rsidRPr="007B1494">
        <w:t>.</w:t>
      </w:r>
    </w:p>
    <w:p w:rsidR="0089022A" w:rsidRDefault="0089022A" w:rsidP="0089022A">
      <w:pPr>
        <w:ind w:right="-511"/>
      </w:pPr>
    </w:p>
    <w:p w:rsidR="0089022A" w:rsidRPr="007B1494" w:rsidRDefault="0089022A" w:rsidP="0089022A">
      <w:pPr>
        <w:ind w:right="-511"/>
      </w:pPr>
      <w:r w:rsidRPr="007B1494">
        <w:t xml:space="preserve">Leverantören har även efter </w:t>
      </w:r>
      <w:r w:rsidR="008D0E0C">
        <w:t>avtalets</w:t>
      </w:r>
      <w:r w:rsidRPr="007B1494">
        <w:t xml:space="preserve"> upphörande ansvar för de kostnader som har uppstått</w:t>
      </w:r>
      <w:r>
        <w:t xml:space="preserve"> </w:t>
      </w:r>
      <w:r w:rsidRPr="007B1494">
        <w:t>under verksamhetstiden och som den</w:t>
      </w:r>
      <w:r w:rsidR="00C41ACB">
        <w:t>ne</w:t>
      </w:r>
      <w:r w:rsidRPr="007B1494">
        <w:t xml:space="preserve"> haft kostnadsansvar för enligt </w:t>
      </w:r>
      <w:r>
        <w:t>Regelboken</w:t>
      </w:r>
      <w:r w:rsidRPr="007B1494">
        <w:t>, till</w:t>
      </w:r>
      <w:r>
        <w:t xml:space="preserve"> </w:t>
      </w:r>
      <w:r w:rsidRPr="007B1494">
        <w:t>exempel för laboratoriekostnader, röntgen och övrig medicinsk diagnostik.</w:t>
      </w:r>
    </w:p>
    <w:p w:rsidR="0089022A" w:rsidRDefault="0089022A" w:rsidP="0089022A">
      <w:pPr>
        <w:ind w:right="-511"/>
      </w:pPr>
    </w:p>
    <w:p w:rsidR="0089022A" w:rsidRPr="007B1494" w:rsidRDefault="0089022A" w:rsidP="0089022A">
      <w:pPr>
        <w:ind w:right="-511"/>
      </w:pPr>
      <w:r w:rsidRPr="007B1494">
        <w:t>Begäran om förtida upphörande av kontraktet ska vara skriftlig.</w:t>
      </w:r>
    </w:p>
    <w:p w:rsidR="0089022A" w:rsidRDefault="0089022A" w:rsidP="0089022A">
      <w:pPr>
        <w:ind w:right="-511"/>
      </w:pPr>
    </w:p>
    <w:p w:rsidR="0089022A" w:rsidRPr="005973DC" w:rsidRDefault="0089022A" w:rsidP="0089022A">
      <w:pPr>
        <w:ind w:right="-511"/>
      </w:pPr>
      <w:r w:rsidRPr="007B1494">
        <w:t xml:space="preserve">Om </w:t>
      </w:r>
      <w:r>
        <w:t>avtalet</w:t>
      </w:r>
      <w:r w:rsidRPr="007B1494">
        <w:t xml:space="preserve"> hävs i förtid på grund av kontraktsbrott är den</w:t>
      </w:r>
      <w:r>
        <w:t xml:space="preserve"> part som brutit mot kontraktet </w:t>
      </w:r>
      <w:r w:rsidRPr="007B1494">
        <w:t>skyldig att till den uppsägande parten utge skadestånd i enligh</w:t>
      </w:r>
      <w:r>
        <w:t xml:space="preserve">et med allmänna avtalsrättsliga </w:t>
      </w:r>
      <w:r w:rsidRPr="005973DC">
        <w:t>principer, med undantag för utebliven vinst och annan indirekt skada.</w:t>
      </w:r>
    </w:p>
    <w:p w:rsidR="0089022A" w:rsidRDefault="0089022A" w:rsidP="0089022A">
      <w:pPr>
        <w:ind w:right="-511"/>
        <w:rPr>
          <w:rFonts w:ascii="TimesNewRoman" w:hAnsi="TimesNewRoman" w:cs="TimesNewRoman"/>
          <w:sz w:val="22"/>
          <w:szCs w:val="22"/>
        </w:rPr>
      </w:pPr>
    </w:p>
    <w:p w:rsidR="004C5FA1" w:rsidRPr="005F2101" w:rsidRDefault="004C5FA1" w:rsidP="005F2101">
      <w:pPr>
        <w:pStyle w:val="Rubrik1"/>
        <w:numPr>
          <w:ilvl w:val="0"/>
          <w:numId w:val="1"/>
        </w:numPr>
        <w:spacing w:after="120"/>
        <w:ind w:right="-511"/>
      </w:pPr>
      <w:r w:rsidRPr="005F2101">
        <w:t xml:space="preserve">Förtida </w:t>
      </w:r>
      <w:r w:rsidR="000258DE" w:rsidRPr="005F2101">
        <w:t>upphörande på grund av politiskt</w:t>
      </w:r>
      <w:r w:rsidRPr="005F2101">
        <w:t xml:space="preserve"> beslut</w:t>
      </w:r>
    </w:p>
    <w:p w:rsidR="004C5FA1" w:rsidRPr="004C5FA1" w:rsidRDefault="004C5FA1" w:rsidP="005F2101">
      <w:pPr>
        <w:ind w:right="-295"/>
        <w:rPr>
          <w:color w:val="1F497D"/>
        </w:rPr>
      </w:pPr>
      <w:r w:rsidRPr="005F2101">
        <w:t xml:space="preserve">Region Kronoberg äger rätt att säga upp Avtalet efter politiskt beslut om tillbaka-dragande av Vårdval. Sådan uppsägning ska vara skriftlig och uppsägningstiden är </w:t>
      </w:r>
      <w:r w:rsidR="00C41ACB" w:rsidRPr="00DE544A">
        <w:t>tolv</w:t>
      </w:r>
      <w:r w:rsidR="00C01421" w:rsidRPr="00DE544A">
        <w:t xml:space="preserve"> (12</w:t>
      </w:r>
      <w:r w:rsidRPr="00DE544A">
        <w:t>) månader.</w:t>
      </w:r>
    </w:p>
    <w:p w:rsidR="004C5FA1" w:rsidRPr="004C5FA1" w:rsidRDefault="004C5FA1" w:rsidP="004C5FA1">
      <w:pPr>
        <w:pStyle w:val="Brdtext"/>
      </w:pPr>
    </w:p>
    <w:p w:rsidR="0089022A" w:rsidRPr="008D0E0C" w:rsidRDefault="0089022A" w:rsidP="0089022A">
      <w:pPr>
        <w:pStyle w:val="Rubrik1"/>
        <w:numPr>
          <w:ilvl w:val="0"/>
          <w:numId w:val="1"/>
        </w:numPr>
        <w:spacing w:after="120"/>
        <w:ind w:right="-511"/>
      </w:pPr>
      <w:r w:rsidRPr="008D0E0C">
        <w:t>Sanktioner</w:t>
      </w:r>
    </w:p>
    <w:p w:rsidR="0089022A" w:rsidRPr="008D0E0C" w:rsidRDefault="0089022A" w:rsidP="0089022A">
      <w:pPr>
        <w:autoSpaceDE w:val="0"/>
        <w:autoSpaceDN w:val="0"/>
        <w:adjustRightInd w:val="0"/>
        <w:ind w:right="-511"/>
      </w:pPr>
      <w:r w:rsidRPr="008D0E0C">
        <w:t>Vid konstaterad brist i förhållande till Regelboken kan regionen utdela ett skriftligt påpekande. Om leverantören inte åtgärdar konstaterad brist inom angiven tidsfrist kan regionen avkräva ekonomisk sanktion. Vad som är brist avgörs av Region Kronoberg. Exempel på när sanktion kan komma ifråga är:</w:t>
      </w:r>
    </w:p>
    <w:p w:rsidR="0089022A" w:rsidRPr="002114DA" w:rsidRDefault="0089022A" w:rsidP="0089022A">
      <w:pPr>
        <w:autoSpaceDE w:val="0"/>
        <w:autoSpaceDN w:val="0"/>
        <w:adjustRightInd w:val="0"/>
        <w:ind w:right="-511"/>
      </w:pPr>
    </w:p>
    <w:p w:rsidR="00D55A42" w:rsidRDefault="00D55A42" w:rsidP="00D55A42">
      <w:pPr>
        <w:pStyle w:val="Liststycke"/>
        <w:numPr>
          <w:ilvl w:val="0"/>
          <w:numId w:val="28"/>
        </w:numPr>
        <w:autoSpaceDE w:val="0"/>
        <w:autoSpaceDN w:val="0"/>
        <w:adjustRightInd w:val="0"/>
        <w:ind w:right="-511"/>
      </w:pPr>
      <w:r>
        <w:t>Leverantören inför verksamheten i strid med avtalet på så sätt som innebär ris</w:t>
      </w:r>
      <w:r w:rsidR="00C01421">
        <w:t>k</w:t>
      </w:r>
      <w:r>
        <w:t xml:space="preserve"> för patientsäkerheten.</w:t>
      </w:r>
    </w:p>
    <w:p w:rsidR="00D55A42" w:rsidRDefault="00D55A42" w:rsidP="00D55A42">
      <w:pPr>
        <w:pStyle w:val="Liststycke"/>
        <w:numPr>
          <w:ilvl w:val="0"/>
          <w:numId w:val="28"/>
        </w:numPr>
        <w:autoSpaceDE w:val="0"/>
        <w:autoSpaceDN w:val="0"/>
        <w:adjustRightInd w:val="0"/>
        <w:ind w:right="-511"/>
      </w:pPr>
      <w:r>
        <w:t>Leverantören utför inte verksamheten i avtalad omfattning.</w:t>
      </w:r>
    </w:p>
    <w:p w:rsidR="0089022A" w:rsidRPr="002114DA" w:rsidRDefault="0089022A" w:rsidP="0089022A">
      <w:pPr>
        <w:pStyle w:val="Liststycke"/>
        <w:numPr>
          <w:ilvl w:val="0"/>
          <w:numId w:val="28"/>
        </w:numPr>
        <w:autoSpaceDE w:val="0"/>
        <w:autoSpaceDN w:val="0"/>
        <w:adjustRightInd w:val="0"/>
        <w:ind w:right="-511"/>
      </w:pPr>
      <w:r w:rsidRPr="002114DA">
        <w:t>Leverantören saknar nödvändig utrustning för avtalets utförande</w:t>
      </w:r>
      <w:r w:rsidR="00D55A42">
        <w:t>.</w:t>
      </w:r>
    </w:p>
    <w:p w:rsidR="0089022A" w:rsidRPr="002114DA" w:rsidRDefault="0089022A" w:rsidP="00D55A42">
      <w:pPr>
        <w:pStyle w:val="Liststycke"/>
        <w:numPr>
          <w:ilvl w:val="0"/>
          <w:numId w:val="28"/>
        </w:numPr>
        <w:autoSpaceDE w:val="0"/>
        <w:autoSpaceDN w:val="0"/>
        <w:adjustRightInd w:val="0"/>
        <w:ind w:right="-511"/>
      </w:pPr>
      <w:r w:rsidRPr="002114DA">
        <w:t>Leverantören uppfyller inte kraven på bemanning och kompetens</w:t>
      </w:r>
      <w:r w:rsidR="00D55A42">
        <w:t>.</w:t>
      </w:r>
    </w:p>
    <w:p w:rsidR="0089022A" w:rsidRDefault="0089022A" w:rsidP="00D55A42">
      <w:pPr>
        <w:pStyle w:val="Liststycke"/>
        <w:numPr>
          <w:ilvl w:val="0"/>
          <w:numId w:val="28"/>
        </w:numPr>
        <w:autoSpaceDE w:val="0"/>
        <w:autoSpaceDN w:val="0"/>
        <w:adjustRightInd w:val="0"/>
        <w:ind w:right="-511"/>
      </w:pPr>
      <w:r w:rsidRPr="002114DA">
        <w:t>Leverantören följer inte tillämpliga lagar och föreskrifter</w:t>
      </w:r>
      <w:r w:rsidR="00D55A42">
        <w:t>.</w:t>
      </w:r>
    </w:p>
    <w:p w:rsidR="00D55A42" w:rsidRDefault="00D55A42" w:rsidP="00D55A42">
      <w:pPr>
        <w:pStyle w:val="Liststycke"/>
        <w:numPr>
          <w:ilvl w:val="0"/>
          <w:numId w:val="28"/>
        </w:numPr>
        <w:autoSpaceDE w:val="0"/>
        <w:autoSpaceDN w:val="0"/>
        <w:adjustRightInd w:val="0"/>
        <w:ind w:right="-511"/>
      </w:pPr>
      <w:r>
        <w:t xml:space="preserve">Leverantören medverkar inte till verksamhetsrevision. </w:t>
      </w:r>
    </w:p>
    <w:p w:rsidR="00D55A42" w:rsidRDefault="00D55A42" w:rsidP="00D55A42">
      <w:pPr>
        <w:pStyle w:val="Liststycke"/>
        <w:numPr>
          <w:ilvl w:val="0"/>
          <w:numId w:val="28"/>
        </w:numPr>
        <w:autoSpaceDE w:val="0"/>
        <w:autoSpaceDN w:val="0"/>
        <w:adjustRightInd w:val="0"/>
        <w:ind w:right="-511"/>
      </w:pPr>
      <w:r>
        <w:t xml:space="preserve">Lokalerna där verksamheten bedrivs uppfyller inte Regelbokens krav på lokaler för verksamheten. </w:t>
      </w:r>
    </w:p>
    <w:p w:rsidR="0089022A" w:rsidRPr="002114DA" w:rsidRDefault="0089022A" w:rsidP="00D55A42">
      <w:pPr>
        <w:pStyle w:val="Liststycke"/>
        <w:autoSpaceDE w:val="0"/>
        <w:autoSpaceDN w:val="0"/>
        <w:adjustRightInd w:val="0"/>
        <w:ind w:right="-511"/>
      </w:pPr>
    </w:p>
    <w:p w:rsidR="0089185C" w:rsidRPr="00C41ACB" w:rsidRDefault="0089022A" w:rsidP="0089022A">
      <w:pPr>
        <w:autoSpaceDE w:val="0"/>
        <w:autoSpaceDN w:val="0"/>
        <w:adjustRightInd w:val="0"/>
        <w:ind w:right="-511"/>
        <w:rPr>
          <w:color w:val="FF0000"/>
        </w:rPr>
      </w:pPr>
      <w:r w:rsidRPr="002114DA">
        <w:t xml:space="preserve">Region Kronoberg fattar beslut om sanktionens storlek. </w:t>
      </w:r>
      <w:r w:rsidR="00D55A42">
        <w:t>Beloppet ska vara skäligt med hänsyn till erh</w:t>
      </w:r>
      <w:r w:rsidR="00C41ACB">
        <w:t>ållen ersättning, bristens</w:t>
      </w:r>
      <w:r w:rsidR="00D55A42">
        <w:t xml:space="preserve"> art och vikt med hänsyn till bland annat pati</w:t>
      </w:r>
      <w:r w:rsidR="00C41ACB">
        <w:t>entsäkerheten och bristens</w:t>
      </w:r>
      <w:r w:rsidR="00D55A42">
        <w:t xml:space="preserve"> varaktighet samt övriga relevanta omständigheter. </w:t>
      </w:r>
      <w:r w:rsidRPr="002114DA">
        <w:t xml:space="preserve"> </w:t>
      </w:r>
      <w:r w:rsidRPr="00DE544A">
        <w:t xml:space="preserve">Sanktionens storlek är lägst 2 procent och högst 10 procent av kommande utbetalningar. </w:t>
      </w:r>
    </w:p>
    <w:p w:rsidR="0089022A" w:rsidRPr="002114DA" w:rsidRDefault="0089185C" w:rsidP="0089022A">
      <w:pPr>
        <w:autoSpaceDE w:val="0"/>
        <w:autoSpaceDN w:val="0"/>
        <w:adjustRightInd w:val="0"/>
        <w:ind w:right="-511"/>
      </w:pPr>
      <w:r>
        <w:t>Denna bestämmelse inskränker på intet vis rätten till andra påföljder enligt lag och</w:t>
      </w:r>
      <w:r w:rsidR="00C41ACB">
        <w:t xml:space="preserve"> detta</w:t>
      </w:r>
      <w:r>
        <w:t xml:space="preserve"> avtal. </w:t>
      </w:r>
      <w:r w:rsidR="0089022A" w:rsidRPr="002114DA">
        <w:t>Åtgärdas inte bristen har Region Kronoberg</w:t>
      </w:r>
      <w:r>
        <w:t xml:space="preserve"> således</w:t>
      </w:r>
      <w:r w:rsidR="0089022A" w:rsidRPr="002114DA">
        <w:t xml:space="preserve"> rätt att säga upp </w:t>
      </w:r>
      <w:r>
        <w:t>avtalet</w:t>
      </w:r>
      <w:r w:rsidR="0089022A" w:rsidRPr="002114DA">
        <w:t xml:space="preserve"> i</w:t>
      </w:r>
      <w:r w:rsidR="00C41ACB">
        <w:t xml:space="preserve"> enlighet </w:t>
      </w:r>
      <w:r w:rsidR="0089022A" w:rsidRPr="002114DA">
        <w:t>med</w:t>
      </w:r>
      <w:r w:rsidR="00C41ACB">
        <w:t xml:space="preserve"> bestämmelserna i § 13</w:t>
      </w:r>
      <w:r w:rsidR="0089022A" w:rsidRPr="002114DA">
        <w:t xml:space="preserve"> förtida upphö</w:t>
      </w:r>
      <w:r>
        <w:t>rande i avtalet</w:t>
      </w:r>
      <w:r w:rsidR="0089022A" w:rsidRPr="002114DA">
        <w:t xml:space="preserve">. </w:t>
      </w:r>
    </w:p>
    <w:p w:rsidR="0089022A" w:rsidRPr="002114DA" w:rsidRDefault="0089022A" w:rsidP="0089022A">
      <w:pPr>
        <w:ind w:right="-511"/>
      </w:pPr>
    </w:p>
    <w:p w:rsidR="0089022A" w:rsidRPr="002114DA" w:rsidRDefault="0089022A" w:rsidP="0089022A">
      <w:pPr>
        <w:pStyle w:val="Rubrik1"/>
        <w:numPr>
          <w:ilvl w:val="0"/>
          <w:numId w:val="1"/>
        </w:numPr>
        <w:spacing w:after="120"/>
        <w:ind w:right="-511"/>
      </w:pPr>
      <w:r w:rsidRPr="002114DA">
        <w:t>Överlåtelse</w:t>
      </w:r>
    </w:p>
    <w:p w:rsidR="0089022A" w:rsidRPr="002114DA" w:rsidRDefault="0089022A" w:rsidP="0089022A">
      <w:pPr>
        <w:ind w:right="-511"/>
      </w:pPr>
      <w:r w:rsidRPr="002114DA">
        <w:t xml:space="preserve">Part får inte helt eller delvis överlåta </w:t>
      </w:r>
      <w:r w:rsidR="008D0E0C" w:rsidRPr="002114DA">
        <w:t>sina rättigheter</w:t>
      </w:r>
      <w:r w:rsidRPr="002114DA">
        <w:t xml:space="preserve"> och/eller skyldigheter enligt detta avtal utan den andra partens </w:t>
      </w:r>
      <w:r w:rsidR="0089185C" w:rsidRPr="002114DA">
        <w:t>skriftliga</w:t>
      </w:r>
      <w:r w:rsidRPr="002114DA">
        <w:t xml:space="preserve"> godkännande. Region Kronoberg äger </w:t>
      </w:r>
      <w:proofErr w:type="gramStart"/>
      <w:r w:rsidRPr="002114DA">
        <w:t>därvid</w:t>
      </w:r>
      <w:proofErr w:type="gramEnd"/>
      <w:r w:rsidRPr="002114DA">
        <w:t xml:space="preserve"> rätt att pröva om förutsättningarna enligt avtalet inkl. bilagor är uppfyllt och i annat fall säga upp avtalet med omedelbar verkan. </w:t>
      </w:r>
    </w:p>
    <w:p w:rsidR="0089022A" w:rsidRPr="002114DA" w:rsidRDefault="0089022A" w:rsidP="0089022A">
      <w:pPr>
        <w:ind w:right="-511"/>
      </w:pPr>
    </w:p>
    <w:p w:rsidR="0089022A" w:rsidRPr="002114DA" w:rsidRDefault="0089022A" w:rsidP="0089022A">
      <w:pPr>
        <w:pStyle w:val="Rubrik1"/>
        <w:numPr>
          <w:ilvl w:val="0"/>
          <w:numId w:val="1"/>
        </w:numPr>
        <w:spacing w:after="120"/>
        <w:ind w:right="-511"/>
      </w:pPr>
      <w:r w:rsidRPr="002114DA">
        <w:t>Återkallande av godkännande på Leverantörens begäran</w:t>
      </w:r>
    </w:p>
    <w:p w:rsidR="0089022A" w:rsidRPr="00DE544A" w:rsidRDefault="0089022A" w:rsidP="0089022A">
      <w:pPr>
        <w:ind w:right="-511"/>
      </w:pPr>
      <w:r w:rsidRPr="00DE544A">
        <w:t>Leverantören är bunden av avtalet under grundavtalstiden på fyra år. Om Leverantören därefter önska</w:t>
      </w:r>
      <w:r w:rsidR="00243644" w:rsidRPr="00DE544A">
        <w:t>r avsluta sin verksamhet skall l</w:t>
      </w:r>
      <w:r w:rsidRPr="00DE544A">
        <w:t>everantören skriftligt begära att godkän</w:t>
      </w:r>
      <w:r w:rsidR="00243644" w:rsidRPr="00DE544A">
        <w:t>nandet återkallas. Begäran ska</w:t>
      </w:r>
      <w:r w:rsidRPr="00DE544A">
        <w:t xml:space="preserve"> lämnas till </w:t>
      </w:r>
      <w:r w:rsidR="00243644" w:rsidRPr="00DE544A">
        <w:t xml:space="preserve">Regionen </w:t>
      </w:r>
      <w:r w:rsidRPr="00DE544A">
        <w:t>senast sex månader innan verksamhetens upphörande.</w:t>
      </w:r>
    </w:p>
    <w:p w:rsidR="0089022A" w:rsidRPr="002114DA" w:rsidRDefault="0089022A" w:rsidP="0089022A">
      <w:pPr>
        <w:ind w:right="-511"/>
      </w:pPr>
    </w:p>
    <w:p w:rsidR="0089022A" w:rsidRPr="002114DA" w:rsidRDefault="0089022A" w:rsidP="0089022A">
      <w:pPr>
        <w:ind w:right="-511"/>
      </w:pPr>
      <w:r w:rsidRPr="002114DA">
        <w:t xml:space="preserve">Leverantören har möjlighet att i förtid säga upp avtalet innan grundavtalstiden har löpt ut under förutsättning att det </w:t>
      </w:r>
      <w:r w:rsidRPr="00DE544A">
        <w:t>föreligger särskilda skäl</w:t>
      </w:r>
      <w:r w:rsidR="00243644" w:rsidRPr="00DE544A">
        <w:t xml:space="preserve"> som </w:t>
      </w:r>
      <w:r w:rsidR="00243644">
        <w:t>förhindrar/omöjliggör för l</w:t>
      </w:r>
      <w:r w:rsidRPr="002114DA">
        <w:t>everantören att fortsätta bedriva vårdenheten. Om särskil</w:t>
      </w:r>
      <w:r w:rsidR="00243644">
        <w:t>da skäl föreligger ska l</w:t>
      </w:r>
      <w:r w:rsidRPr="002114DA">
        <w:t xml:space="preserve">everantören skriftligen ange skälen för önskan om </w:t>
      </w:r>
      <w:r w:rsidR="008D0E0C" w:rsidRPr="002114DA">
        <w:t>uppsägning samt</w:t>
      </w:r>
      <w:r w:rsidRPr="002114DA">
        <w:t xml:space="preserve"> begära att godkännandet återkal</w:t>
      </w:r>
      <w:r w:rsidR="00243644">
        <w:t>las. Begäran skall lämnas till R</w:t>
      </w:r>
      <w:r w:rsidRPr="002114DA">
        <w:t>egionen senast sex månader innan verksamhetens upphörande.</w:t>
      </w:r>
    </w:p>
    <w:p w:rsidR="0089022A" w:rsidRPr="002114DA" w:rsidRDefault="0089022A" w:rsidP="0089022A">
      <w:pPr>
        <w:ind w:right="-511"/>
      </w:pPr>
    </w:p>
    <w:p w:rsidR="0089022A" w:rsidRPr="002114DA" w:rsidRDefault="0089022A" w:rsidP="0089022A">
      <w:pPr>
        <w:ind w:right="-511"/>
      </w:pPr>
      <w:r w:rsidRPr="002114DA">
        <w:t>Leverantören har även efter avtalets upphörande ansvar för de kostnader som har uppstått under verksamhetstiden och som den haft kostnadsansvar för enligt Regelboken.</w:t>
      </w:r>
    </w:p>
    <w:p w:rsidR="0089022A" w:rsidRPr="002114DA" w:rsidRDefault="0089022A" w:rsidP="0089022A">
      <w:pPr>
        <w:ind w:right="-511"/>
      </w:pPr>
    </w:p>
    <w:p w:rsidR="0089022A" w:rsidRPr="002114DA" w:rsidRDefault="0089022A" w:rsidP="0089022A">
      <w:pPr>
        <w:pStyle w:val="Rubrik1"/>
        <w:numPr>
          <w:ilvl w:val="0"/>
          <w:numId w:val="1"/>
        </w:numPr>
        <w:spacing w:after="120"/>
        <w:ind w:right="-511"/>
      </w:pPr>
      <w:r w:rsidRPr="002114DA">
        <w:t>Vid avtalets upphörande</w:t>
      </w:r>
    </w:p>
    <w:p w:rsidR="0089022A" w:rsidRPr="002114DA" w:rsidRDefault="00243644" w:rsidP="0089022A">
      <w:pPr>
        <w:ind w:right="-511"/>
      </w:pPr>
      <w:r>
        <w:t>Avtalets upphörande ska</w:t>
      </w:r>
      <w:r w:rsidR="0089022A" w:rsidRPr="002114DA">
        <w:t xml:space="preserve"> inte befria någon</w:t>
      </w:r>
      <w:r w:rsidR="0089022A" w:rsidRPr="002114DA">
        <w:softHyphen/>
        <w:t>dera par</w:t>
      </w:r>
      <w:r w:rsidR="0089022A" w:rsidRPr="002114DA">
        <w:softHyphen/>
        <w:t>ten från vid tillfället kvar</w:t>
      </w:r>
      <w:r w:rsidR="0089022A" w:rsidRPr="002114DA">
        <w:softHyphen/>
        <w:t>stående och icke uppfyll</w:t>
      </w:r>
      <w:r w:rsidR="0089022A" w:rsidRPr="002114DA">
        <w:softHyphen/>
        <w:t>da åtaganden eller förplik</w:t>
      </w:r>
      <w:r w:rsidR="0089022A" w:rsidRPr="002114DA">
        <w:softHyphen/>
        <w:t>telser gente</w:t>
      </w:r>
      <w:r w:rsidR="0089022A" w:rsidRPr="002114DA">
        <w:softHyphen/>
        <w:t>mot den andra parten.</w:t>
      </w:r>
    </w:p>
    <w:p w:rsidR="0089022A" w:rsidRPr="002114DA" w:rsidRDefault="0089022A" w:rsidP="0089022A">
      <w:pPr>
        <w:ind w:right="-511"/>
      </w:pPr>
    </w:p>
    <w:p w:rsidR="0089022A" w:rsidRPr="002114DA" w:rsidRDefault="0089022A" w:rsidP="0089022A">
      <w:pPr>
        <w:pStyle w:val="Rubrik1"/>
        <w:numPr>
          <w:ilvl w:val="0"/>
          <w:numId w:val="1"/>
        </w:numPr>
        <w:spacing w:after="120"/>
        <w:ind w:right="-511"/>
      </w:pPr>
      <w:r w:rsidRPr="002114DA">
        <w:t>Tvist</w:t>
      </w:r>
    </w:p>
    <w:p w:rsidR="0089022A" w:rsidRPr="002114DA" w:rsidRDefault="0089022A" w:rsidP="0089022A">
      <w:pPr>
        <w:ind w:right="-511"/>
      </w:pPr>
      <w:r w:rsidRPr="002114DA">
        <w:t>Tvist angående tolkning eller tillämpning av upprättat avtal och därmed samman</w:t>
      </w:r>
      <w:r w:rsidR="00C94A99">
        <w:t>hängande rättsförhållanden ska</w:t>
      </w:r>
      <w:r w:rsidRPr="002114DA">
        <w:t xml:space="preserve"> avgöras av svensk allmän domsto</w:t>
      </w:r>
      <w:r w:rsidR="00C94A99">
        <w:t>l enligt svensk lag. Talan ska</w:t>
      </w:r>
      <w:r w:rsidRPr="002114DA">
        <w:t xml:space="preserve"> väckas vid Växjö Tingsrätt. Vid eventuell tvist gäller </w:t>
      </w:r>
      <w:r w:rsidR="00725FE4">
        <w:t>Region Kronobergs</w:t>
      </w:r>
      <w:r w:rsidRPr="002114DA">
        <w:t xml:space="preserve"> tolkning av avtalet till dess att tvisten slutligt avgjorts.</w:t>
      </w:r>
    </w:p>
    <w:p w:rsidR="0089022A" w:rsidRPr="002114DA" w:rsidRDefault="0089022A" w:rsidP="0089022A">
      <w:pPr>
        <w:tabs>
          <w:tab w:val="left" w:pos="8640"/>
        </w:tabs>
        <w:ind w:right="-511"/>
      </w:pPr>
    </w:p>
    <w:p w:rsidR="0089022A" w:rsidRPr="002114DA" w:rsidRDefault="0089022A" w:rsidP="0089022A">
      <w:pPr>
        <w:pStyle w:val="Rubrik1"/>
        <w:numPr>
          <w:ilvl w:val="0"/>
          <w:numId w:val="1"/>
        </w:numPr>
        <w:spacing w:after="120"/>
        <w:ind w:right="-511"/>
      </w:pPr>
      <w:r w:rsidRPr="002114DA">
        <w:t>Handlingarnas inbördes ordning</w:t>
      </w:r>
    </w:p>
    <w:p w:rsidR="0089022A" w:rsidRDefault="0089022A" w:rsidP="0089022A">
      <w:pPr>
        <w:ind w:right="-511"/>
      </w:pPr>
      <w:r>
        <w:t>Nedanstående handlingar kompletterar varandra. Förekommer mot varandra stridande uppgifter i handlingarna gäller de sinsemellan i följande ordning.</w:t>
      </w:r>
    </w:p>
    <w:p w:rsidR="0089022A" w:rsidRDefault="0089022A" w:rsidP="0089022A">
      <w:pPr>
        <w:numPr>
          <w:ilvl w:val="0"/>
          <w:numId w:val="27"/>
        </w:numPr>
        <w:ind w:right="-511"/>
      </w:pPr>
      <w:r>
        <w:t xml:space="preserve">Skriftliga ändringar </w:t>
      </w:r>
      <w:r w:rsidR="002114DA">
        <w:t>och tillägg till detta avtal</w:t>
      </w:r>
    </w:p>
    <w:p w:rsidR="0089022A" w:rsidRDefault="0089022A" w:rsidP="0089022A">
      <w:pPr>
        <w:numPr>
          <w:ilvl w:val="0"/>
          <w:numId w:val="27"/>
        </w:numPr>
        <w:ind w:right="-511"/>
      </w:pPr>
      <w:r>
        <w:t>Skri</w:t>
      </w:r>
      <w:r w:rsidR="002114DA">
        <w:t>ftligt och undertecknat avtal</w:t>
      </w:r>
      <w:r w:rsidR="00665FE3">
        <w:t xml:space="preserve"> inkl. bilagor </w:t>
      </w:r>
    </w:p>
    <w:p w:rsidR="0089022A" w:rsidRDefault="0089022A" w:rsidP="0089022A">
      <w:pPr>
        <w:numPr>
          <w:ilvl w:val="0"/>
          <w:numId w:val="27"/>
        </w:numPr>
        <w:ind w:right="-511"/>
      </w:pPr>
      <w:r>
        <w:t xml:space="preserve">Regelboken inkl. bilagor </w:t>
      </w:r>
    </w:p>
    <w:p w:rsidR="0089022A" w:rsidRDefault="0089022A" w:rsidP="0089022A">
      <w:pPr>
        <w:numPr>
          <w:ilvl w:val="0"/>
          <w:numId w:val="27"/>
        </w:numPr>
        <w:ind w:right="-511"/>
      </w:pPr>
      <w:r>
        <w:t>Skriftlig och undertecknad ansökan</w:t>
      </w:r>
    </w:p>
    <w:p w:rsidR="0089022A" w:rsidRDefault="0089022A" w:rsidP="0089022A">
      <w:pPr>
        <w:ind w:right="-511"/>
      </w:pPr>
    </w:p>
    <w:p w:rsidR="0089022A" w:rsidRPr="00304A4A" w:rsidRDefault="0089022A" w:rsidP="00304A4A">
      <w:pPr>
        <w:pStyle w:val="Rubrik1"/>
        <w:numPr>
          <w:ilvl w:val="0"/>
          <w:numId w:val="1"/>
        </w:numPr>
        <w:spacing w:after="120"/>
        <w:ind w:right="-511"/>
      </w:pPr>
      <w:r w:rsidRPr="00304A4A">
        <w:t xml:space="preserve">Utväxling av avtal </w:t>
      </w:r>
    </w:p>
    <w:p w:rsidR="0089022A" w:rsidRPr="00304A4A" w:rsidRDefault="0089022A" w:rsidP="0089022A">
      <w:pPr>
        <w:pStyle w:val="Brdtext"/>
        <w:ind w:right="-511"/>
        <w:rPr>
          <w:rFonts w:ascii="Times New Roman" w:hAnsi="Times New Roman"/>
        </w:rPr>
      </w:pPr>
      <w:r w:rsidRPr="00304A4A">
        <w:rPr>
          <w:rFonts w:ascii="Times New Roman" w:hAnsi="Times New Roman"/>
        </w:rPr>
        <w:t>Detta Avtal har upprättats i två (2) likalydande exemplar, av vilka parterna tagit var sitt.</w:t>
      </w:r>
    </w:p>
    <w:p w:rsidR="0089022A" w:rsidRPr="00304A4A" w:rsidRDefault="0089022A" w:rsidP="0089022A">
      <w:pPr>
        <w:pStyle w:val="Brdtext"/>
        <w:ind w:right="-511"/>
        <w:rPr>
          <w:rFonts w:ascii="Times New Roman" w:hAnsi="Times New Roman"/>
        </w:rPr>
      </w:pPr>
    </w:p>
    <w:p w:rsidR="0089022A" w:rsidRPr="00304A4A" w:rsidRDefault="0089022A" w:rsidP="0089022A">
      <w:pPr>
        <w:pStyle w:val="Brdtext"/>
        <w:ind w:right="-511"/>
        <w:rPr>
          <w:rFonts w:ascii="Times New Roman" w:hAnsi="Times New Roman"/>
        </w:rPr>
      </w:pPr>
      <w:r w:rsidRPr="00304A4A">
        <w:rPr>
          <w:rFonts w:ascii="Times New Roman" w:hAnsi="Times New Roman"/>
        </w:rPr>
        <w:t>Bindande avtal uppkommer först när det undertecknats av båda parter.</w:t>
      </w:r>
    </w:p>
    <w:p w:rsidR="0089022A" w:rsidRDefault="0089022A" w:rsidP="0089022A">
      <w:pPr>
        <w:ind w:right="-511"/>
      </w:pPr>
    </w:p>
    <w:p w:rsidR="0089022A" w:rsidRPr="00304A4A" w:rsidRDefault="0089022A" w:rsidP="0089022A">
      <w:pPr>
        <w:ind w:right="-511"/>
      </w:pPr>
    </w:p>
    <w:p w:rsidR="0089022A" w:rsidRPr="005F2101" w:rsidRDefault="0089022A" w:rsidP="0089022A">
      <w:pPr>
        <w:ind w:right="-511"/>
        <w:rPr>
          <w:b/>
        </w:rPr>
      </w:pPr>
      <w:r w:rsidRPr="005F2101">
        <w:rPr>
          <w:b/>
        </w:rPr>
        <w:t>För beställaren</w:t>
      </w:r>
      <w:r w:rsidRPr="005F2101">
        <w:rPr>
          <w:b/>
        </w:rPr>
        <w:tab/>
      </w:r>
      <w:r w:rsidRPr="005F2101">
        <w:rPr>
          <w:b/>
        </w:rPr>
        <w:tab/>
      </w:r>
      <w:r w:rsidRPr="005F2101">
        <w:rPr>
          <w:b/>
        </w:rPr>
        <w:tab/>
        <w:t>För Leverantören</w:t>
      </w:r>
    </w:p>
    <w:p w:rsidR="0089022A" w:rsidRDefault="0089022A" w:rsidP="0089022A">
      <w:pPr>
        <w:ind w:right="-511"/>
      </w:pPr>
    </w:p>
    <w:p w:rsidR="0089022A" w:rsidRDefault="00725FE4" w:rsidP="0089022A">
      <w:pPr>
        <w:ind w:right="-511"/>
      </w:pPr>
      <w:r>
        <w:t>Växjö 201X-XX</w:t>
      </w:r>
      <w:r w:rsidR="008D0E0C">
        <w:t>-</w:t>
      </w:r>
      <w:r>
        <w:t>XX</w:t>
      </w:r>
      <w:r w:rsidR="008D0E0C">
        <w:tab/>
      </w:r>
      <w:r>
        <w:tab/>
      </w:r>
      <w:r>
        <w:tab/>
        <w:t>Växjö 201X-XX</w:t>
      </w:r>
      <w:r w:rsidR="0089022A">
        <w:t>-</w:t>
      </w:r>
      <w:r>
        <w:t>XX</w:t>
      </w:r>
    </w:p>
    <w:p w:rsidR="0089022A" w:rsidRDefault="0089022A" w:rsidP="0089022A">
      <w:pPr>
        <w:ind w:right="-511"/>
      </w:pPr>
    </w:p>
    <w:p w:rsidR="0089022A" w:rsidRDefault="0089022A" w:rsidP="0089022A">
      <w:pPr>
        <w:ind w:right="-511"/>
      </w:pPr>
    </w:p>
    <w:p w:rsidR="0089022A" w:rsidRDefault="0089022A" w:rsidP="0089022A">
      <w:pPr>
        <w:ind w:right="-511"/>
      </w:pPr>
      <w:proofErr w:type="gramStart"/>
      <w:r>
        <w:t>…………………………</w:t>
      </w:r>
      <w:proofErr w:type="gramEnd"/>
      <w:r>
        <w:tab/>
      </w:r>
      <w:r>
        <w:tab/>
      </w:r>
      <w:r>
        <w:tab/>
        <w:t>…………………………..</w:t>
      </w:r>
      <w:r>
        <w:tab/>
      </w:r>
    </w:p>
    <w:p w:rsidR="0089022A" w:rsidRDefault="0050763D" w:rsidP="0089022A">
      <w:pPr>
        <w:ind w:right="-511"/>
      </w:pPr>
      <w:r>
        <w:t>Behörig företrädare</w:t>
      </w:r>
      <w:r>
        <w:tab/>
      </w:r>
      <w:r>
        <w:tab/>
      </w:r>
      <w:r>
        <w:tab/>
        <w:t xml:space="preserve">Behörig företrädare </w:t>
      </w:r>
      <w:r w:rsidR="008D0E0C">
        <w:t xml:space="preserve"> </w:t>
      </w:r>
      <w:r w:rsidR="0089022A">
        <w:tab/>
      </w:r>
      <w:r w:rsidR="0089022A">
        <w:tab/>
        <w:t xml:space="preserve">                    </w:t>
      </w:r>
    </w:p>
    <w:p w:rsidR="0089022A" w:rsidRDefault="0089022A" w:rsidP="0089022A">
      <w:pPr>
        <w:tabs>
          <w:tab w:val="left" w:pos="5073"/>
        </w:tabs>
        <w:ind w:right="-511"/>
      </w:pPr>
    </w:p>
    <w:p w:rsidR="0089022A" w:rsidRDefault="0089022A" w:rsidP="0089022A">
      <w:pPr>
        <w:tabs>
          <w:tab w:val="left" w:pos="5073"/>
        </w:tabs>
        <w:ind w:right="-511"/>
      </w:pPr>
    </w:p>
    <w:p w:rsidR="0089022A" w:rsidRDefault="0089022A" w:rsidP="0089022A">
      <w:pPr>
        <w:tabs>
          <w:tab w:val="left" w:pos="5073"/>
        </w:tabs>
        <w:ind w:right="-511"/>
      </w:pPr>
    </w:p>
    <w:p w:rsidR="0089022A" w:rsidRDefault="0089022A" w:rsidP="0089022A">
      <w:pPr>
        <w:tabs>
          <w:tab w:val="left" w:pos="5073"/>
        </w:tabs>
        <w:ind w:right="-511"/>
      </w:pPr>
    </w:p>
    <w:p w:rsidR="0089022A" w:rsidRDefault="0089022A" w:rsidP="0089022A">
      <w:pPr>
        <w:tabs>
          <w:tab w:val="left" w:pos="5073"/>
        </w:tabs>
        <w:ind w:right="-511"/>
      </w:pPr>
    </w:p>
    <w:p w:rsidR="0089022A" w:rsidRPr="00A67E92" w:rsidRDefault="0089022A" w:rsidP="0089022A">
      <w:pPr>
        <w:tabs>
          <w:tab w:val="left" w:pos="5073"/>
        </w:tabs>
        <w:ind w:right="-511"/>
        <w:rPr>
          <w:szCs w:val="24"/>
        </w:rPr>
      </w:pPr>
      <w:r w:rsidRPr="00A67E92">
        <w:rPr>
          <w:szCs w:val="24"/>
        </w:rPr>
        <w:t>Bilagor</w:t>
      </w:r>
    </w:p>
    <w:p w:rsidR="0089022A" w:rsidRPr="00A67E92" w:rsidRDefault="0089022A" w:rsidP="0089022A">
      <w:pPr>
        <w:tabs>
          <w:tab w:val="left" w:pos="5073"/>
        </w:tabs>
        <w:ind w:right="-511"/>
        <w:rPr>
          <w:szCs w:val="24"/>
        </w:rPr>
      </w:pPr>
      <w:bookmarkStart w:id="9" w:name="OLE_LINK1"/>
    </w:p>
    <w:p w:rsidR="0089022A" w:rsidRPr="00A67E92" w:rsidRDefault="00C01421" w:rsidP="00A67E92">
      <w:pPr>
        <w:pStyle w:val="Liststycke"/>
        <w:numPr>
          <w:ilvl w:val="0"/>
          <w:numId w:val="31"/>
        </w:numPr>
        <w:tabs>
          <w:tab w:val="left" w:pos="5073"/>
        </w:tabs>
        <w:ind w:right="-511"/>
        <w:rPr>
          <w:szCs w:val="24"/>
        </w:rPr>
      </w:pPr>
      <w:r w:rsidRPr="00A67E92">
        <w:rPr>
          <w:szCs w:val="24"/>
        </w:rPr>
        <w:t>Regelbok specialiserad BUP i öppenvård</w:t>
      </w:r>
      <w:r w:rsidR="0089022A" w:rsidRPr="00A67E92">
        <w:rPr>
          <w:szCs w:val="24"/>
        </w:rPr>
        <w:t xml:space="preserve"> </w:t>
      </w:r>
    </w:p>
    <w:p w:rsidR="0089022A" w:rsidRPr="00A67E92" w:rsidRDefault="0089022A" w:rsidP="00A67E92">
      <w:pPr>
        <w:pStyle w:val="Liststycke"/>
        <w:numPr>
          <w:ilvl w:val="0"/>
          <w:numId w:val="31"/>
        </w:numPr>
        <w:tabs>
          <w:tab w:val="left" w:pos="5073"/>
        </w:tabs>
        <w:ind w:right="-511"/>
        <w:rPr>
          <w:szCs w:val="24"/>
        </w:rPr>
      </w:pPr>
      <w:r w:rsidRPr="00A67E92">
        <w:rPr>
          <w:szCs w:val="24"/>
        </w:rPr>
        <w:t xml:space="preserve">IT-bilaga </w:t>
      </w:r>
    </w:p>
    <w:p w:rsidR="0089022A" w:rsidRPr="00A67E92" w:rsidRDefault="0089022A" w:rsidP="00A67E92">
      <w:pPr>
        <w:pStyle w:val="Liststycke"/>
        <w:numPr>
          <w:ilvl w:val="0"/>
          <w:numId w:val="31"/>
        </w:numPr>
        <w:tabs>
          <w:tab w:val="left" w:pos="5073"/>
        </w:tabs>
        <w:ind w:right="-511"/>
        <w:rPr>
          <w:szCs w:val="24"/>
        </w:rPr>
      </w:pPr>
      <w:r w:rsidRPr="00A67E92">
        <w:rPr>
          <w:szCs w:val="24"/>
        </w:rPr>
        <w:t>IT-bilaga</w:t>
      </w:r>
      <w:r w:rsidR="0063000B" w:rsidRPr="00A67E92">
        <w:rPr>
          <w:szCs w:val="24"/>
        </w:rPr>
        <w:t>-produktbilaga</w:t>
      </w:r>
    </w:p>
    <w:p w:rsidR="001450CC" w:rsidRPr="00A67E92" w:rsidRDefault="0089022A" w:rsidP="00A67E92">
      <w:pPr>
        <w:pStyle w:val="Liststycke"/>
        <w:numPr>
          <w:ilvl w:val="0"/>
          <w:numId w:val="31"/>
        </w:numPr>
        <w:tabs>
          <w:tab w:val="left" w:pos="5073"/>
        </w:tabs>
        <w:ind w:right="-964"/>
        <w:rPr>
          <w:szCs w:val="24"/>
        </w:rPr>
      </w:pPr>
      <w:r w:rsidRPr="00A67E92">
        <w:rPr>
          <w:szCs w:val="24"/>
        </w:rPr>
        <w:t>Personuppgiftsbiträdesavtal</w:t>
      </w:r>
      <w:r w:rsidR="009A4D42" w:rsidRPr="00A67E92">
        <w:rPr>
          <w:szCs w:val="24"/>
        </w:rPr>
        <w:t xml:space="preserve"> enligt SKL-mall</w:t>
      </w:r>
      <w:r w:rsidRPr="00A67E92">
        <w:rPr>
          <w:szCs w:val="24"/>
        </w:rPr>
        <w:t xml:space="preserve"> </w:t>
      </w:r>
      <w:bookmarkEnd w:id="9"/>
      <w:r w:rsidR="009A4D42" w:rsidRPr="00A67E92">
        <w:rPr>
          <w:szCs w:val="24"/>
        </w:rPr>
        <w:t>inklusive bilaga 1 och 2</w:t>
      </w:r>
    </w:p>
    <w:p w:rsidR="007C1583" w:rsidRPr="00A67E92" w:rsidRDefault="007C1583" w:rsidP="00A67E92">
      <w:pPr>
        <w:pStyle w:val="Liststycke"/>
        <w:numPr>
          <w:ilvl w:val="0"/>
          <w:numId w:val="31"/>
        </w:numPr>
        <w:tabs>
          <w:tab w:val="left" w:pos="5073"/>
        </w:tabs>
        <w:ind w:right="-964"/>
        <w:rPr>
          <w:szCs w:val="24"/>
        </w:rPr>
      </w:pPr>
      <w:proofErr w:type="spellStart"/>
      <w:r w:rsidRPr="00A67E92">
        <w:rPr>
          <w:szCs w:val="24"/>
        </w:rPr>
        <w:t>Ineras</w:t>
      </w:r>
      <w:proofErr w:type="spellEnd"/>
      <w:r w:rsidRPr="00A67E92">
        <w:rPr>
          <w:szCs w:val="24"/>
        </w:rPr>
        <w:t xml:space="preserve"> personuppgiftsbiträdesavtal 2</w:t>
      </w:r>
    </w:p>
    <w:p w:rsidR="00921174" w:rsidRPr="00654878" w:rsidRDefault="00921174" w:rsidP="00E96F94">
      <w:pPr>
        <w:pStyle w:val="Brdtext"/>
        <w:rPr>
          <w:rFonts w:ascii="Arial" w:hAnsi="Arial" w:cs="Arial"/>
          <w:b/>
          <w:sz w:val="32"/>
          <w:szCs w:val="32"/>
        </w:rPr>
      </w:pPr>
      <w:bookmarkStart w:id="10" w:name="bm_Rubrik"/>
      <w:bookmarkEnd w:id="10"/>
    </w:p>
    <w:p w:rsidR="00361163" w:rsidRDefault="00361163" w:rsidP="00DA4ACB">
      <w:pPr>
        <w:pStyle w:val="Brdtext"/>
      </w:pPr>
      <w:bookmarkStart w:id="11" w:name="Start"/>
      <w:bookmarkStart w:id="12" w:name="bm_Mottare"/>
      <w:bookmarkEnd w:id="11"/>
      <w:bookmarkEnd w:id="12"/>
    </w:p>
    <w:p w:rsidR="00361163" w:rsidRDefault="00361163" w:rsidP="00DA4ACB">
      <w:pPr>
        <w:pStyle w:val="Brdtext"/>
      </w:pPr>
    </w:p>
    <w:p w:rsidR="007F7C9E" w:rsidRDefault="007F7C9E" w:rsidP="007F7C9E">
      <w:pPr>
        <w:pStyle w:val="Brdtext"/>
      </w:pPr>
      <w:bookmarkStart w:id="13" w:name="bm_UnderskriftFras"/>
      <w:bookmarkEnd w:id="13"/>
    </w:p>
    <w:p w:rsidR="007F7C9E" w:rsidRDefault="007F7C9E">
      <w:pPr>
        <w:rPr>
          <w:rFonts w:ascii="Garamond" w:hAnsi="Garamond"/>
        </w:rPr>
      </w:pPr>
      <w:bookmarkStart w:id="14" w:name="bm_UnderskriftNamn"/>
      <w:bookmarkEnd w:id="14"/>
    </w:p>
    <w:p w:rsidR="00B41BB2" w:rsidRDefault="00B41BB2">
      <w:pPr>
        <w:rPr>
          <w:rFonts w:ascii="Garamond" w:hAnsi="Garamond"/>
        </w:rPr>
      </w:pPr>
      <w:bookmarkStart w:id="15" w:name="bm_UnderskriftTitel"/>
      <w:bookmarkEnd w:id="15"/>
    </w:p>
    <w:sectPr w:rsidR="00B41BB2" w:rsidSect="001B20B3">
      <w:headerReference w:type="default" r:id="rId11"/>
      <w:footerReference w:type="default" r:id="rId12"/>
      <w:footerReference w:type="first" r:id="rId13"/>
      <w:type w:val="continuous"/>
      <w:pgSz w:w="11907" w:h="16840" w:code="9"/>
      <w:pgMar w:top="703" w:right="2903" w:bottom="1134" w:left="1361" w:header="680"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2F" w:rsidRDefault="00C7602F">
      <w:r>
        <w:separator/>
      </w:r>
    </w:p>
  </w:endnote>
  <w:endnote w:type="continuationSeparator" w:id="0">
    <w:p w:rsidR="00C7602F" w:rsidRDefault="00C7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32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2694"/>
      <w:gridCol w:w="1417"/>
    </w:tblGrid>
    <w:tr w:rsidR="00732250" w:rsidRPr="0076713E" w:rsidTr="0076713E">
      <w:trPr>
        <w:trHeight w:hRule="exact" w:val="284"/>
      </w:trPr>
      <w:tc>
        <w:tcPr>
          <w:tcW w:w="5211" w:type="dxa"/>
          <w:vAlign w:val="center"/>
        </w:tcPr>
        <w:p w:rsidR="00732250" w:rsidRPr="0076713E" w:rsidRDefault="00732250" w:rsidP="00732250">
          <w:pPr>
            <w:pStyle w:val="Sidhuvud"/>
            <w:jc w:val="right"/>
            <w:rPr>
              <w:rFonts w:ascii="Arial" w:hAnsi="Arial" w:cs="Arial"/>
              <w:sz w:val="16"/>
              <w:szCs w:val="16"/>
            </w:rPr>
          </w:pPr>
        </w:p>
      </w:tc>
      <w:tc>
        <w:tcPr>
          <w:tcW w:w="2694" w:type="dxa"/>
          <w:vAlign w:val="bottom"/>
        </w:tcPr>
        <w:p w:rsidR="00732250" w:rsidRPr="0076713E" w:rsidRDefault="00732250" w:rsidP="00732250">
          <w:pPr>
            <w:pStyle w:val="Sidhuvud"/>
            <w:rPr>
              <w:rFonts w:ascii="Arial" w:hAnsi="Arial" w:cs="Arial"/>
              <w:sz w:val="16"/>
              <w:szCs w:val="16"/>
            </w:rPr>
          </w:pPr>
        </w:p>
      </w:tc>
      <w:tc>
        <w:tcPr>
          <w:tcW w:w="1417" w:type="dxa"/>
        </w:tcPr>
        <w:p w:rsidR="00732250" w:rsidRPr="0076713E" w:rsidRDefault="00C7602F" w:rsidP="0076713E">
          <w:pPr>
            <w:pStyle w:val="Sidhuvud"/>
            <w:jc w:val="right"/>
            <w:rPr>
              <w:rFonts w:ascii="Arial" w:hAnsi="Arial" w:cs="Arial"/>
              <w:sz w:val="16"/>
              <w:szCs w:val="16"/>
            </w:rPr>
          </w:pPr>
          <w:sdt>
            <w:sdtPr>
              <w:rPr>
                <w:rFonts w:ascii="Arial" w:hAnsi="Arial" w:cs="Arial"/>
                <w:sz w:val="16"/>
                <w:szCs w:val="16"/>
              </w:rPr>
              <w:id w:val="-875237851"/>
              <w:docPartObj>
                <w:docPartGallery w:val="Page Numbers (Top of Page)"/>
                <w:docPartUnique/>
              </w:docPartObj>
            </w:sdtPr>
            <w:sdtEndPr/>
            <w:sdtContent>
              <w:r w:rsidR="00732250" w:rsidRPr="0076713E">
                <w:rPr>
                  <w:rFonts w:ascii="Arial" w:hAnsi="Arial" w:cs="Arial"/>
                  <w:sz w:val="16"/>
                  <w:szCs w:val="16"/>
                </w:rPr>
                <w:t xml:space="preserve">Sida </w:t>
              </w:r>
              <w:r w:rsidR="00732250" w:rsidRPr="0076713E">
                <w:rPr>
                  <w:rFonts w:ascii="Arial" w:hAnsi="Arial" w:cs="Arial"/>
                  <w:sz w:val="16"/>
                  <w:szCs w:val="16"/>
                </w:rPr>
                <w:fldChar w:fldCharType="begin"/>
              </w:r>
              <w:r w:rsidR="00732250" w:rsidRPr="0076713E">
                <w:rPr>
                  <w:rFonts w:ascii="Arial" w:hAnsi="Arial" w:cs="Arial"/>
                  <w:sz w:val="16"/>
                  <w:szCs w:val="16"/>
                </w:rPr>
                <w:instrText>PAGE</w:instrText>
              </w:r>
              <w:r w:rsidR="00732250" w:rsidRPr="0076713E">
                <w:rPr>
                  <w:rFonts w:ascii="Arial" w:hAnsi="Arial" w:cs="Arial"/>
                  <w:sz w:val="16"/>
                  <w:szCs w:val="16"/>
                </w:rPr>
                <w:fldChar w:fldCharType="separate"/>
              </w:r>
              <w:r w:rsidR="00FF1CC3">
                <w:rPr>
                  <w:rFonts w:ascii="Arial" w:hAnsi="Arial" w:cs="Arial"/>
                  <w:noProof/>
                  <w:sz w:val="16"/>
                  <w:szCs w:val="16"/>
                </w:rPr>
                <w:t>2</w:t>
              </w:r>
              <w:r w:rsidR="00732250" w:rsidRPr="0076713E">
                <w:rPr>
                  <w:rFonts w:ascii="Arial" w:hAnsi="Arial" w:cs="Arial"/>
                  <w:sz w:val="16"/>
                  <w:szCs w:val="16"/>
                </w:rPr>
                <w:fldChar w:fldCharType="end"/>
              </w:r>
              <w:r w:rsidR="00732250" w:rsidRPr="0076713E">
                <w:rPr>
                  <w:rFonts w:ascii="Arial" w:hAnsi="Arial" w:cs="Arial"/>
                  <w:sz w:val="16"/>
                  <w:szCs w:val="16"/>
                </w:rPr>
                <w:t xml:space="preserve"> av </w:t>
              </w:r>
              <w:r w:rsidR="00732250" w:rsidRPr="0076713E">
                <w:rPr>
                  <w:rFonts w:ascii="Arial" w:hAnsi="Arial" w:cs="Arial"/>
                  <w:sz w:val="16"/>
                  <w:szCs w:val="16"/>
                </w:rPr>
                <w:fldChar w:fldCharType="begin"/>
              </w:r>
              <w:r w:rsidR="00732250" w:rsidRPr="0076713E">
                <w:rPr>
                  <w:rFonts w:ascii="Arial" w:hAnsi="Arial" w:cs="Arial"/>
                  <w:sz w:val="16"/>
                  <w:szCs w:val="16"/>
                </w:rPr>
                <w:instrText>NUMPAGES</w:instrText>
              </w:r>
              <w:r w:rsidR="00732250" w:rsidRPr="0076713E">
                <w:rPr>
                  <w:rFonts w:ascii="Arial" w:hAnsi="Arial" w:cs="Arial"/>
                  <w:sz w:val="16"/>
                  <w:szCs w:val="16"/>
                </w:rPr>
                <w:fldChar w:fldCharType="separate"/>
              </w:r>
              <w:r w:rsidR="00FF1CC3">
                <w:rPr>
                  <w:rFonts w:ascii="Arial" w:hAnsi="Arial" w:cs="Arial"/>
                  <w:noProof/>
                  <w:sz w:val="16"/>
                  <w:szCs w:val="16"/>
                </w:rPr>
                <w:t>10</w:t>
              </w:r>
              <w:r w:rsidR="00732250" w:rsidRPr="0076713E">
                <w:rPr>
                  <w:rFonts w:ascii="Arial" w:hAnsi="Arial" w:cs="Arial"/>
                  <w:sz w:val="16"/>
                  <w:szCs w:val="16"/>
                </w:rPr>
                <w:fldChar w:fldCharType="end"/>
              </w:r>
            </w:sdtContent>
          </w:sdt>
        </w:p>
      </w:tc>
    </w:tr>
  </w:tbl>
  <w:p w:rsidR="00732250" w:rsidRDefault="00732250" w:rsidP="007322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Borders>
        <w:top w:val="single" w:sz="6" w:space="0" w:color="auto"/>
      </w:tblBorders>
      <w:tblLayout w:type="fixed"/>
      <w:tblCellMar>
        <w:left w:w="70" w:type="dxa"/>
        <w:right w:w="70" w:type="dxa"/>
      </w:tblCellMar>
      <w:tblLook w:val="0000" w:firstRow="0" w:lastRow="0" w:firstColumn="0" w:lastColumn="0" w:noHBand="0" w:noVBand="0"/>
    </w:tblPr>
    <w:tblGrid>
      <w:gridCol w:w="2552"/>
      <w:gridCol w:w="3118"/>
      <w:gridCol w:w="851"/>
      <w:gridCol w:w="2693"/>
    </w:tblGrid>
    <w:tr w:rsidR="00E96F94" w:rsidTr="001B20B3">
      <w:trPr>
        <w:cantSplit/>
        <w:trHeight w:hRule="exact" w:val="340"/>
      </w:trPr>
      <w:tc>
        <w:tcPr>
          <w:tcW w:w="9214" w:type="dxa"/>
          <w:gridSpan w:val="4"/>
          <w:tcBorders>
            <w:top w:val="nil"/>
            <w:bottom w:val="single" w:sz="4" w:space="0" w:color="auto"/>
          </w:tcBorders>
        </w:tcPr>
        <w:p w:rsidR="00E96F94" w:rsidRDefault="00E96F94" w:rsidP="003875FC">
          <w:pPr>
            <w:tabs>
              <w:tab w:val="left" w:pos="5103"/>
              <w:tab w:val="right" w:pos="9923"/>
            </w:tabs>
            <w:rPr>
              <w:rFonts w:ascii="Arial" w:hAnsi="Arial"/>
              <w:sz w:val="16"/>
            </w:rPr>
          </w:pPr>
        </w:p>
      </w:tc>
    </w:tr>
    <w:tr w:rsidR="00E96F94" w:rsidTr="001B20B3">
      <w:trPr>
        <w:cantSplit/>
        <w:trHeight w:hRule="exact" w:val="340"/>
      </w:trPr>
      <w:tc>
        <w:tcPr>
          <w:tcW w:w="2552" w:type="dxa"/>
          <w:tcBorders>
            <w:top w:val="single" w:sz="4" w:space="0" w:color="auto"/>
          </w:tcBorders>
          <w:vAlign w:val="bottom"/>
        </w:tcPr>
        <w:p w:rsidR="00E96F94" w:rsidRPr="00564333" w:rsidRDefault="00E96F94">
          <w:pPr>
            <w:tabs>
              <w:tab w:val="left" w:pos="5103"/>
            </w:tabs>
            <w:rPr>
              <w:rFonts w:ascii="Arial" w:hAnsi="Arial"/>
              <w:b/>
              <w:bCs/>
              <w:sz w:val="16"/>
              <w:szCs w:val="16"/>
            </w:rPr>
          </w:pPr>
        </w:p>
      </w:tc>
      <w:tc>
        <w:tcPr>
          <w:tcW w:w="3118" w:type="dxa"/>
          <w:tcBorders>
            <w:top w:val="single" w:sz="4" w:space="0" w:color="auto"/>
          </w:tcBorders>
          <w:vAlign w:val="bottom"/>
        </w:tcPr>
        <w:p w:rsidR="00E96F94" w:rsidRPr="00564333" w:rsidRDefault="00E96F94">
          <w:pPr>
            <w:tabs>
              <w:tab w:val="left" w:pos="5103"/>
            </w:tabs>
            <w:rPr>
              <w:rFonts w:ascii="Arial" w:hAnsi="Arial"/>
              <w:b/>
              <w:bCs/>
              <w:sz w:val="16"/>
              <w:szCs w:val="16"/>
            </w:rPr>
          </w:pPr>
        </w:p>
      </w:tc>
      <w:tc>
        <w:tcPr>
          <w:tcW w:w="851" w:type="dxa"/>
          <w:tcBorders>
            <w:top w:val="single" w:sz="4" w:space="0" w:color="auto"/>
          </w:tcBorders>
          <w:vAlign w:val="bottom"/>
        </w:tcPr>
        <w:p w:rsidR="00E96F94" w:rsidRPr="00564333" w:rsidRDefault="00E96F94">
          <w:pPr>
            <w:tabs>
              <w:tab w:val="left" w:pos="5103"/>
            </w:tabs>
            <w:rPr>
              <w:rFonts w:ascii="Arial" w:hAnsi="Arial"/>
              <w:b/>
              <w:bCs/>
              <w:sz w:val="16"/>
              <w:szCs w:val="16"/>
            </w:rPr>
          </w:pPr>
        </w:p>
      </w:tc>
      <w:tc>
        <w:tcPr>
          <w:tcW w:w="2693" w:type="dxa"/>
          <w:tcBorders>
            <w:top w:val="single" w:sz="4" w:space="0" w:color="auto"/>
          </w:tcBorders>
          <w:vAlign w:val="bottom"/>
        </w:tcPr>
        <w:p w:rsidR="00E96F94" w:rsidRPr="00C80D6D" w:rsidRDefault="007B075C">
          <w:pPr>
            <w:tabs>
              <w:tab w:val="left" w:pos="5103"/>
              <w:tab w:val="right" w:pos="9923"/>
            </w:tabs>
            <w:rPr>
              <w:rFonts w:ascii="Arial" w:hAnsi="Arial"/>
              <w:sz w:val="18"/>
              <w:szCs w:val="18"/>
            </w:rPr>
          </w:pPr>
          <w:bookmarkStart w:id="17" w:name="bm_Telefon"/>
          <w:bookmarkEnd w:id="17"/>
          <w:r>
            <w:rPr>
              <w:rFonts w:ascii="Arial" w:hAnsi="Arial"/>
              <w:sz w:val="18"/>
              <w:szCs w:val="18"/>
            </w:rPr>
            <w:t xml:space="preserve"> </w:t>
          </w:r>
          <w:bookmarkStart w:id="18" w:name="bm_Mobil"/>
          <w:bookmarkEnd w:id="18"/>
        </w:p>
      </w:tc>
    </w:tr>
    <w:tr w:rsidR="007B075C" w:rsidTr="001B20B3">
      <w:trPr>
        <w:cantSplit/>
      </w:trPr>
      <w:tc>
        <w:tcPr>
          <w:tcW w:w="2552" w:type="dxa"/>
          <w:vMerge w:val="restart"/>
        </w:tcPr>
        <w:p w:rsidR="007B075C" w:rsidRDefault="007B075C">
          <w:pPr>
            <w:tabs>
              <w:tab w:val="left" w:pos="5103"/>
            </w:tabs>
            <w:spacing w:before="20"/>
            <w:rPr>
              <w:rFonts w:ascii="Arial" w:hAnsi="Arial"/>
              <w:sz w:val="18"/>
            </w:rPr>
          </w:pPr>
          <w:bookmarkStart w:id="19" w:name="bm_avsAdress"/>
          <w:bookmarkEnd w:id="19"/>
        </w:p>
      </w:tc>
      <w:tc>
        <w:tcPr>
          <w:tcW w:w="3118" w:type="dxa"/>
          <w:vAlign w:val="bottom"/>
        </w:tcPr>
        <w:p w:rsidR="007B075C" w:rsidRDefault="007B075C">
          <w:pPr>
            <w:tabs>
              <w:tab w:val="left" w:pos="5103"/>
            </w:tabs>
            <w:rPr>
              <w:rFonts w:ascii="Arial" w:hAnsi="Arial"/>
              <w:sz w:val="18"/>
            </w:rPr>
          </w:pPr>
          <w:bookmarkStart w:id="20" w:name="bm_Besoksadress"/>
          <w:bookmarkEnd w:id="20"/>
        </w:p>
      </w:tc>
      <w:tc>
        <w:tcPr>
          <w:tcW w:w="851" w:type="dxa"/>
          <w:vAlign w:val="bottom"/>
        </w:tcPr>
        <w:p w:rsidR="007B075C" w:rsidRPr="00564333" w:rsidRDefault="007B075C">
          <w:pPr>
            <w:tabs>
              <w:tab w:val="left" w:pos="5103"/>
            </w:tabs>
            <w:rPr>
              <w:rFonts w:ascii="Arial" w:hAnsi="Arial"/>
              <w:b/>
              <w:bCs/>
              <w:sz w:val="16"/>
              <w:szCs w:val="16"/>
            </w:rPr>
          </w:pPr>
        </w:p>
      </w:tc>
      <w:tc>
        <w:tcPr>
          <w:tcW w:w="2693" w:type="dxa"/>
          <w:vAlign w:val="bottom"/>
        </w:tcPr>
        <w:p w:rsidR="007B075C" w:rsidRDefault="007B075C">
          <w:pPr>
            <w:tabs>
              <w:tab w:val="left" w:pos="5103"/>
              <w:tab w:val="right" w:pos="9923"/>
            </w:tabs>
            <w:rPr>
              <w:rFonts w:ascii="Arial" w:hAnsi="Arial"/>
              <w:sz w:val="18"/>
            </w:rPr>
          </w:pPr>
          <w:bookmarkStart w:id="21" w:name="bm_Epost"/>
          <w:bookmarkEnd w:id="21"/>
        </w:p>
      </w:tc>
    </w:tr>
    <w:tr w:rsidR="007B075C" w:rsidTr="001B20B3">
      <w:trPr>
        <w:cantSplit/>
        <w:trHeight w:val="221"/>
      </w:trPr>
      <w:tc>
        <w:tcPr>
          <w:tcW w:w="2552" w:type="dxa"/>
          <w:vMerge/>
          <w:vAlign w:val="bottom"/>
        </w:tcPr>
        <w:p w:rsidR="007B075C" w:rsidRDefault="007B075C">
          <w:pPr>
            <w:tabs>
              <w:tab w:val="left" w:pos="5103"/>
            </w:tabs>
            <w:rPr>
              <w:rFonts w:ascii="Arial" w:hAnsi="Arial"/>
              <w:sz w:val="18"/>
            </w:rPr>
          </w:pPr>
        </w:p>
      </w:tc>
      <w:tc>
        <w:tcPr>
          <w:tcW w:w="3118" w:type="dxa"/>
          <w:vAlign w:val="bottom"/>
        </w:tcPr>
        <w:p w:rsidR="007B075C" w:rsidRDefault="007B075C">
          <w:pPr>
            <w:tabs>
              <w:tab w:val="left" w:pos="5103"/>
            </w:tabs>
            <w:rPr>
              <w:rFonts w:ascii="Arial" w:hAnsi="Arial"/>
              <w:sz w:val="18"/>
            </w:rPr>
          </w:pPr>
        </w:p>
      </w:tc>
      <w:tc>
        <w:tcPr>
          <w:tcW w:w="851" w:type="dxa"/>
          <w:vAlign w:val="bottom"/>
        </w:tcPr>
        <w:p w:rsidR="007B075C" w:rsidRPr="00564333" w:rsidRDefault="007B075C">
          <w:pPr>
            <w:tabs>
              <w:tab w:val="left" w:pos="5103"/>
            </w:tabs>
            <w:rPr>
              <w:rFonts w:ascii="Arial" w:hAnsi="Arial"/>
              <w:b/>
              <w:bCs/>
              <w:sz w:val="16"/>
              <w:szCs w:val="16"/>
            </w:rPr>
          </w:pPr>
        </w:p>
      </w:tc>
      <w:tc>
        <w:tcPr>
          <w:tcW w:w="2693" w:type="dxa"/>
          <w:vAlign w:val="bottom"/>
        </w:tcPr>
        <w:p w:rsidR="007B075C" w:rsidRDefault="007B075C">
          <w:pPr>
            <w:tabs>
              <w:tab w:val="left" w:pos="5103"/>
              <w:tab w:val="right" w:pos="9923"/>
            </w:tabs>
            <w:rPr>
              <w:rFonts w:ascii="Arial" w:hAnsi="Arial"/>
              <w:sz w:val="18"/>
            </w:rPr>
          </w:pPr>
          <w:bookmarkStart w:id="22" w:name="bm_Fax"/>
          <w:bookmarkEnd w:id="22"/>
        </w:p>
      </w:tc>
    </w:tr>
    <w:tr w:rsidR="007B075C" w:rsidTr="001B20B3">
      <w:trPr>
        <w:cantSplit/>
        <w:trHeight w:val="221"/>
      </w:trPr>
      <w:tc>
        <w:tcPr>
          <w:tcW w:w="2552" w:type="dxa"/>
          <w:vMerge/>
          <w:vAlign w:val="bottom"/>
        </w:tcPr>
        <w:p w:rsidR="007B075C" w:rsidRDefault="007B075C">
          <w:pPr>
            <w:tabs>
              <w:tab w:val="left" w:pos="5103"/>
            </w:tabs>
            <w:rPr>
              <w:rFonts w:ascii="Arial" w:hAnsi="Arial"/>
              <w:sz w:val="18"/>
            </w:rPr>
          </w:pPr>
        </w:p>
      </w:tc>
      <w:tc>
        <w:tcPr>
          <w:tcW w:w="3118" w:type="dxa"/>
          <w:vAlign w:val="bottom"/>
        </w:tcPr>
        <w:p w:rsidR="007B075C" w:rsidRDefault="007B075C">
          <w:pPr>
            <w:tabs>
              <w:tab w:val="left" w:pos="5103"/>
            </w:tabs>
            <w:rPr>
              <w:rFonts w:ascii="Arial" w:hAnsi="Arial"/>
              <w:sz w:val="18"/>
            </w:rPr>
          </w:pPr>
        </w:p>
      </w:tc>
      <w:tc>
        <w:tcPr>
          <w:tcW w:w="851" w:type="dxa"/>
          <w:vAlign w:val="bottom"/>
        </w:tcPr>
        <w:p w:rsidR="007B075C" w:rsidRPr="00564333" w:rsidRDefault="007B075C">
          <w:pPr>
            <w:tabs>
              <w:tab w:val="left" w:pos="5103"/>
            </w:tabs>
            <w:rPr>
              <w:rFonts w:ascii="Arial" w:hAnsi="Arial"/>
              <w:b/>
              <w:bCs/>
              <w:sz w:val="16"/>
              <w:szCs w:val="16"/>
            </w:rPr>
          </w:pPr>
        </w:p>
      </w:tc>
      <w:tc>
        <w:tcPr>
          <w:tcW w:w="2693" w:type="dxa"/>
          <w:vAlign w:val="bottom"/>
        </w:tcPr>
        <w:p w:rsidR="007B075C" w:rsidRDefault="00C7602F" w:rsidP="0076713E">
          <w:pPr>
            <w:tabs>
              <w:tab w:val="left" w:pos="5103"/>
              <w:tab w:val="right" w:pos="9923"/>
            </w:tabs>
            <w:jc w:val="right"/>
            <w:rPr>
              <w:rFonts w:ascii="Arial" w:hAnsi="Arial"/>
              <w:sz w:val="18"/>
            </w:rPr>
          </w:pPr>
          <w:sdt>
            <w:sdtPr>
              <w:rPr>
                <w:rFonts w:ascii="Arial" w:hAnsi="Arial" w:cs="Arial"/>
                <w:sz w:val="16"/>
                <w:szCs w:val="16"/>
              </w:rPr>
              <w:id w:val="2123413178"/>
              <w:docPartObj>
                <w:docPartGallery w:val="Page Numbers (Top of Page)"/>
                <w:docPartUnique/>
              </w:docPartObj>
            </w:sdtPr>
            <w:sdtEndPr/>
            <w:sdtContent>
              <w:r w:rsidR="0076713E" w:rsidRPr="0076713E">
                <w:rPr>
                  <w:rFonts w:ascii="Arial" w:hAnsi="Arial" w:cs="Arial"/>
                  <w:sz w:val="16"/>
                  <w:szCs w:val="16"/>
                </w:rPr>
                <w:t xml:space="preserve">Sida </w:t>
              </w:r>
              <w:r w:rsidR="0076713E" w:rsidRPr="0076713E">
                <w:rPr>
                  <w:rFonts w:ascii="Arial" w:hAnsi="Arial" w:cs="Arial"/>
                  <w:sz w:val="16"/>
                  <w:szCs w:val="16"/>
                </w:rPr>
                <w:fldChar w:fldCharType="begin"/>
              </w:r>
              <w:r w:rsidR="0076713E" w:rsidRPr="0076713E">
                <w:rPr>
                  <w:rFonts w:ascii="Arial" w:hAnsi="Arial" w:cs="Arial"/>
                  <w:sz w:val="16"/>
                  <w:szCs w:val="16"/>
                </w:rPr>
                <w:instrText>PAGE</w:instrText>
              </w:r>
              <w:r w:rsidR="0076713E" w:rsidRPr="0076713E">
                <w:rPr>
                  <w:rFonts w:ascii="Arial" w:hAnsi="Arial" w:cs="Arial"/>
                  <w:sz w:val="16"/>
                  <w:szCs w:val="16"/>
                </w:rPr>
                <w:fldChar w:fldCharType="separate"/>
              </w:r>
              <w:r w:rsidR="00FF1CC3">
                <w:rPr>
                  <w:rFonts w:ascii="Arial" w:hAnsi="Arial" w:cs="Arial"/>
                  <w:noProof/>
                  <w:sz w:val="16"/>
                  <w:szCs w:val="16"/>
                </w:rPr>
                <w:t>1</w:t>
              </w:r>
              <w:r w:rsidR="0076713E" w:rsidRPr="0076713E">
                <w:rPr>
                  <w:rFonts w:ascii="Arial" w:hAnsi="Arial" w:cs="Arial"/>
                  <w:sz w:val="16"/>
                  <w:szCs w:val="16"/>
                </w:rPr>
                <w:fldChar w:fldCharType="end"/>
              </w:r>
              <w:r w:rsidR="0076713E" w:rsidRPr="0076713E">
                <w:rPr>
                  <w:rFonts w:ascii="Arial" w:hAnsi="Arial" w:cs="Arial"/>
                  <w:sz w:val="16"/>
                  <w:szCs w:val="16"/>
                </w:rPr>
                <w:t xml:space="preserve"> av </w:t>
              </w:r>
              <w:r w:rsidR="0076713E" w:rsidRPr="0076713E">
                <w:rPr>
                  <w:rFonts w:ascii="Arial" w:hAnsi="Arial" w:cs="Arial"/>
                  <w:sz w:val="16"/>
                  <w:szCs w:val="16"/>
                </w:rPr>
                <w:fldChar w:fldCharType="begin"/>
              </w:r>
              <w:r w:rsidR="0076713E" w:rsidRPr="0076713E">
                <w:rPr>
                  <w:rFonts w:ascii="Arial" w:hAnsi="Arial" w:cs="Arial"/>
                  <w:sz w:val="16"/>
                  <w:szCs w:val="16"/>
                </w:rPr>
                <w:instrText>NUMPAGES</w:instrText>
              </w:r>
              <w:r w:rsidR="0076713E" w:rsidRPr="0076713E">
                <w:rPr>
                  <w:rFonts w:ascii="Arial" w:hAnsi="Arial" w:cs="Arial"/>
                  <w:sz w:val="16"/>
                  <w:szCs w:val="16"/>
                </w:rPr>
                <w:fldChar w:fldCharType="separate"/>
              </w:r>
              <w:r w:rsidR="00FF1CC3">
                <w:rPr>
                  <w:rFonts w:ascii="Arial" w:hAnsi="Arial" w:cs="Arial"/>
                  <w:noProof/>
                  <w:sz w:val="16"/>
                  <w:szCs w:val="16"/>
                </w:rPr>
                <w:t>10</w:t>
              </w:r>
              <w:r w:rsidR="0076713E" w:rsidRPr="0076713E">
                <w:rPr>
                  <w:rFonts w:ascii="Arial" w:hAnsi="Arial" w:cs="Arial"/>
                  <w:sz w:val="16"/>
                  <w:szCs w:val="16"/>
                </w:rPr>
                <w:fldChar w:fldCharType="end"/>
              </w:r>
            </w:sdtContent>
          </w:sdt>
        </w:p>
      </w:tc>
    </w:tr>
  </w:tbl>
  <w:p w:rsidR="00E96F94" w:rsidRPr="00747439" w:rsidRDefault="00E96F94">
    <w:pPr>
      <w:tabs>
        <w:tab w:val="left" w:pos="5103"/>
        <w:tab w:val="right" w:pos="9923"/>
      </w:tabs>
      <w:rPr>
        <w:rFonts w:ascii="Arial" w:hAnsi="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2F" w:rsidRDefault="00C7602F">
      <w:r>
        <w:separator/>
      </w:r>
    </w:p>
  </w:footnote>
  <w:footnote w:type="continuationSeparator" w:id="0">
    <w:p w:rsidR="00C7602F" w:rsidRDefault="00C76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Layout w:type="fixed"/>
      <w:tblCellMar>
        <w:left w:w="70" w:type="dxa"/>
        <w:right w:w="70" w:type="dxa"/>
      </w:tblCellMar>
      <w:tblLook w:val="0000" w:firstRow="0" w:lastRow="0" w:firstColumn="0" w:lastColumn="0" w:noHBand="0" w:noVBand="0"/>
    </w:tblPr>
    <w:tblGrid>
      <w:gridCol w:w="7513"/>
      <w:gridCol w:w="160"/>
      <w:gridCol w:w="2533"/>
    </w:tblGrid>
    <w:tr w:rsidR="00C65A95" w:rsidRPr="00482BC7" w:rsidTr="00F47C27">
      <w:trPr>
        <w:cantSplit/>
        <w:trHeight w:val="249"/>
      </w:trPr>
      <w:tc>
        <w:tcPr>
          <w:tcW w:w="7513" w:type="dxa"/>
          <w:vAlign w:val="center"/>
        </w:tcPr>
        <w:p w:rsidR="00C65A95" w:rsidRPr="00B33735" w:rsidRDefault="00C65A95" w:rsidP="00C65A95">
          <w:pPr>
            <w:pStyle w:val="Liststycke"/>
            <w:jc w:val="right"/>
            <w:rPr>
              <w:rFonts w:ascii="Arial" w:hAnsi="Arial" w:cs="Arial"/>
              <w:sz w:val="16"/>
              <w:szCs w:val="16"/>
            </w:rPr>
          </w:pPr>
          <w:bookmarkStart w:id="16" w:name="bm_Datum_2"/>
          <w:bookmarkEnd w:id="16"/>
        </w:p>
      </w:tc>
      <w:tc>
        <w:tcPr>
          <w:tcW w:w="160" w:type="dxa"/>
          <w:tcBorders>
            <w:left w:val="nil"/>
            <w:right w:val="single" w:sz="4" w:space="0" w:color="000000" w:themeColor="text1"/>
          </w:tcBorders>
        </w:tcPr>
        <w:p w:rsidR="00C65A95" w:rsidRPr="00130027" w:rsidRDefault="00C65A95" w:rsidP="00C65A95">
          <w:pPr>
            <w:jc w:val="center"/>
            <w:rPr>
              <w:rFonts w:ascii="Arial" w:hAnsi="Arial" w:cs="Arial"/>
              <w:b/>
              <w:sz w:val="16"/>
              <w:szCs w:val="16"/>
            </w:rPr>
          </w:pPr>
        </w:p>
      </w:tc>
      <w:tc>
        <w:tcPr>
          <w:tcW w:w="2533" w:type="dxa"/>
          <w:tcBorders>
            <w:left w:val="single" w:sz="4" w:space="0" w:color="000000" w:themeColor="text1"/>
            <w:right w:val="single" w:sz="4" w:space="0" w:color="000000" w:themeColor="text1"/>
          </w:tcBorders>
          <w:vAlign w:val="center"/>
        </w:tcPr>
        <w:p w:rsidR="00C65A95" w:rsidRPr="00130027" w:rsidRDefault="00C65A95" w:rsidP="0076713E">
          <w:pPr>
            <w:rPr>
              <w:rFonts w:ascii="Arial" w:hAnsi="Arial" w:cs="Arial"/>
              <w:b/>
              <w:sz w:val="16"/>
              <w:szCs w:val="16"/>
            </w:rPr>
          </w:pPr>
          <w:r>
            <w:rPr>
              <w:rFonts w:ascii="Arial" w:hAnsi="Arial" w:cs="Arial"/>
              <w:b/>
              <w:sz w:val="16"/>
              <w:szCs w:val="16"/>
            </w:rPr>
            <w:t>REGION KRONOBERG</w:t>
          </w:r>
        </w:p>
      </w:tc>
    </w:tr>
  </w:tbl>
  <w:p w:rsidR="00E96F94" w:rsidRDefault="00E96F94" w:rsidP="009D0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B2C572"/>
    <w:lvl w:ilvl="0">
      <w:start w:val="1"/>
      <w:numFmt w:val="decimal"/>
      <w:lvlText w:val="%1."/>
      <w:lvlJc w:val="left"/>
      <w:pPr>
        <w:tabs>
          <w:tab w:val="num" w:pos="1492"/>
        </w:tabs>
        <w:ind w:left="1492" w:hanging="360"/>
      </w:pPr>
    </w:lvl>
  </w:abstractNum>
  <w:abstractNum w:abstractNumId="1">
    <w:nsid w:val="FFFFFF7D"/>
    <w:multiLevelType w:val="singleLevel"/>
    <w:tmpl w:val="ABDC90F6"/>
    <w:lvl w:ilvl="0">
      <w:start w:val="1"/>
      <w:numFmt w:val="decimal"/>
      <w:lvlText w:val="%1."/>
      <w:lvlJc w:val="left"/>
      <w:pPr>
        <w:tabs>
          <w:tab w:val="num" w:pos="1209"/>
        </w:tabs>
        <w:ind w:left="1209" w:hanging="360"/>
      </w:pPr>
    </w:lvl>
  </w:abstractNum>
  <w:abstractNum w:abstractNumId="2">
    <w:nsid w:val="FFFFFF7E"/>
    <w:multiLevelType w:val="singleLevel"/>
    <w:tmpl w:val="2BE0879C"/>
    <w:lvl w:ilvl="0">
      <w:start w:val="1"/>
      <w:numFmt w:val="decimal"/>
      <w:lvlText w:val="%1."/>
      <w:lvlJc w:val="left"/>
      <w:pPr>
        <w:tabs>
          <w:tab w:val="num" w:pos="926"/>
        </w:tabs>
        <w:ind w:left="926" w:hanging="360"/>
      </w:pPr>
    </w:lvl>
  </w:abstractNum>
  <w:abstractNum w:abstractNumId="3">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nsid w:val="FFFFFF83"/>
    <w:multiLevelType w:val="singleLevel"/>
    <w:tmpl w:val="3A344680"/>
    <w:lvl w:ilvl="0">
      <w:start w:val="1"/>
      <w:numFmt w:val="bullet"/>
      <w:lvlText w:val=""/>
      <w:lvlJc w:val="left"/>
      <w:pPr>
        <w:tabs>
          <w:tab w:val="num" w:pos="643"/>
        </w:tabs>
        <w:ind w:left="643" w:hanging="360"/>
      </w:pPr>
      <w:rPr>
        <w:rFonts w:ascii="Symbol" w:hAnsi="Symbol" w:hint="default"/>
      </w:rPr>
    </w:lvl>
  </w:abstractNum>
  <w:abstractNum w:abstractNumId="6">
    <w:nsid w:val="FFFFFFFB"/>
    <w:multiLevelType w:val="multilevel"/>
    <w:tmpl w:val="FFFFFFFF"/>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abstractNum w:abstractNumId="7">
    <w:nsid w:val="FFFFFFFE"/>
    <w:multiLevelType w:val="singleLevel"/>
    <w:tmpl w:val="92228A7C"/>
    <w:lvl w:ilvl="0">
      <w:numFmt w:val="decimal"/>
      <w:lvlText w:val="*"/>
      <w:lvlJc w:val="left"/>
    </w:lvl>
  </w:abstractNum>
  <w:abstractNum w:abstractNumId="8">
    <w:nsid w:val="055716A4"/>
    <w:multiLevelType w:val="singleLevel"/>
    <w:tmpl w:val="564E86C6"/>
    <w:lvl w:ilvl="0">
      <w:start w:val="1"/>
      <w:numFmt w:val="decimal"/>
      <w:lvlText w:val="%1."/>
      <w:legacy w:legacy="1" w:legacySpace="0" w:legacyIndent="284"/>
      <w:lvlJc w:val="left"/>
      <w:pPr>
        <w:ind w:left="284" w:hanging="284"/>
      </w:pPr>
    </w:lvl>
  </w:abstractNum>
  <w:abstractNum w:abstractNumId="9">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10">
    <w:nsid w:val="08640F16"/>
    <w:multiLevelType w:val="singleLevel"/>
    <w:tmpl w:val="564E86C6"/>
    <w:lvl w:ilvl="0">
      <w:start w:val="1"/>
      <w:numFmt w:val="decimal"/>
      <w:lvlText w:val="%1."/>
      <w:legacy w:legacy="1" w:legacySpace="0" w:legacyIndent="284"/>
      <w:lvlJc w:val="left"/>
      <w:pPr>
        <w:ind w:left="284" w:hanging="284"/>
      </w:pPr>
    </w:lvl>
  </w:abstractNum>
  <w:abstractNum w:abstractNumId="11">
    <w:nsid w:val="0ECD101E"/>
    <w:multiLevelType w:val="singleLevel"/>
    <w:tmpl w:val="564E86C6"/>
    <w:lvl w:ilvl="0">
      <w:start w:val="1"/>
      <w:numFmt w:val="decimal"/>
      <w:lvlText w:val="%1."/>
      <w:legacy w:legacy="1" w:legacySpace="0" w:legacyIndent="284"/>
      <w:lvlJc w:val="left"/>
      <w:pPr>
        <w:ind w:left="284" w:hanging="284"/>
      </w:pPr>
    </w:lvl>
  </w:abstractNum>
  <w:abstractNum w:abstractNumId="12">
    <w:nsid w:val="162C3A8F"/>
    <w:multiLevelType w:val="hybridMultilevel"/>
    <w:tmpl w:val="288CF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F535D55"/>
    <w:multiLevelType w:val="multilevel"/>
    <w:tmpl w:val="8AEA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8834C3"/>
    <w:multiLevelType w:val="hybridMultilevel"/>
    <w:tmpl w:val="B91E518E"/>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2C8E7BF1"/>
    <w:multiLevelType w:val="hybridMultilevel"/>
    <w:tmpl w:val="FFE23A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18">
    <w:nsid w:val="53746306"/>
    <w:multiLevelType w:val="hybridMultilevel"/>
    <w:tmpl w:val="DD28F03A"/>
    <w:lvl w:ilvl="0" w:tplc="041D000F">
      <w:start w:val="1"/>
      <w:numFmt w:val="decimal"/>
      <w:lvlText w:val="%1."/>
      <w:lvlJc w:val="left"/>
      <w:pPr>
        <w:tabs>
          <w:tab w:val="num" w:pos="720"/>
        </w:tabs>
        <w:ind w:left="720" w:hanging="360"/>
      </w:pPr>
      <w:rPr>
        <w:rFonts w:hint="default"/>
      </w:rPr>
    </w:lvl>
    <w:lvl w:ilvl="1" w:tplc="89A402CA">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53A06499"/>
    <w:multiLevelType w:val="singleLevel"/>
    <w:tmpl w:val="564E86C6"/>
    <w:lvl w:ilvl="0">
      <w:start w:val="1"/>
      <w:numFmt w:val="decimal"/>
      <w:lvlText w:val="%1."/>
      <w:legacy w:legacy="1" w:legacySpace="0" w:legacyIndent="284"/>
      <w:lvlJc w:val="left"/>
      <w:pPr>
        <w:ind w:left="284" w:hanging="284"/>
      </w:pPr>
    </w:lvl>
  </w:abstractNum>
  <w:abstractNum w:abstractNumId="20">
    <w:nsid w:val="628F6329"/>
    <w:multiLevelType w:val="singleLevel"/>
    <w:tmpl w:val="564E86C6"/>
    <w:lvl w:ilvl="0">
      <w:start w:val="1"/>
      <w:numFmt w:val="decimal"/>
      <w:lvlText w:val="%1."/>
      <w:legacy w:legacy="1" w:legacySpace="0" w:legacyIndent="284"/>
      <w:lvlJc w:val="left"/>
      <w:pPr>
        <w:ind w:left="284" w:hanging="284"/>
      </w:pPr>
    </w:lvl>
  </w:abstractNum>
  <w:abstractNum w:abstractNumId="21">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2">
    <w:nsid w:val="6BE74C3D"/>
    <w:multiLevelType w:val="singleLevel"/>
    <w:tmpl w:val="564E86C6"/>
    <w:lvl w:ilvl="0">
      <w:start w:val="1"/>
      <w:numFmt w:val="decimal"/>
      <w:lvlText w:val="%1."/>
      <w:legacy w:legacy="1" w:legacySpace="0" w:legacyIndent="284"/>
      <w:lvlJc w:val="left"/>
      <w:pPr>
        <w:ind w:left="284" w:hanging="284"/>
      </w:pPr>
    </w:lvl>
  </w:abstractNum>
  <w:abstractNum w:abstractNumId="23">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24">
    <w:nsid w:val="76420EE7"/>
    <w:multiLevelType w:val="hybridMultilevel"/>
    <w:tmpl w:val="B93A55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7AA14D94"/>
    <w:multiLevelType w:val="singleLevel"/>
    <w:tmpl w:val="564E86C6"/>
    <w:lvl w:ilvl="0">
      <w:start w:val="1"/>
      <w:numFmt w:val="decimal"/>
      <w:lvlText w:val="%1."/>
      <w:legacy w:legacy="1" w:legacySpace="0" w:legacyIndent="284"/>
      <w:lvlJc w:val="left"/>
      <w:pPr>
        <w:ind w:left="284" w:hanging="284"/>
      </w:pPr>
    </w:lvl>
  </w:abstractNum>
  <w:abstractNum w:abstractNumId="27">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7"/>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7"/>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25"/>
  </w:num>
  <w:num w:numId="6">
    <w:abstractNumId w:val="16"/>
  </w:num>
  <w:num w:numId="7">
    <w:abstractNumId w:val="22"/>
  </w:num>
  <w:num w:numId="8">
    <w:abstractNumId w:val="9"/>
  </w:num>
  <w:num w:numId="9">
    <w:abstractNumId w:val="27"/>
  </w:num>
  <w:num w:numId="10">
    <w:abstractNumId w:val="21"/>
  </w:num>
  <w:num w:numId="11">
    <w:abstractNumId w:val="17"/>
  </w:num>
  <w:num w:numId="12">
    <w:abstractNumId w:val="8"/>
  </w:num>
  <w:num w:numId="13">
    <w:abstractNumId w:val="19"/>
  </w:num>
  <w:num w:numId="14">
    <w:abstractNumId w:val="11"/>
  </w:num>
  <w:num w:numId="15">
    <w:abstractNumId w:val="10"/>
  </w:num>
  <w:num w:numId="16">
    <w:abstractNumId w:val="26"/>
  </w:num>
  <w:num w:numId="17">
    <w:abstractNumId w:val="20"/>
  </w:num>
  <w:num w:numId="18">
    <w:abstractNumId w:val="23"/>
  </w:num>
  <w:num w:numId="19">
    <w:abstractNumId w:val="4"/>
  </w:num>
  <w:num w:numId="20">
    <w:abstractNumId w:val="2"/>
  </w:num>
  <w:num w:numId="21">
    <w:abstractNumId w:val="1"/>
  </w:num>
  <w:num w:numId="22">
    <w:abstractNumId w:val="0"/>
  </w:num>
  <w:num w:numId="23">
    <w:abstractNumId w:val="3"/>
  </w:num>
  <w:num w:numId="24">
    <w:abstractNumId w:val="5"/>
  </w:num>
  <w:num w:numId="25">
    <w:abstractNumId w:val="18"/>
  </w:num>
  <w:num w:numId="26">
    <w:abstractNumId w:val="14"/>
  </w:num>
  <w:num w:numId="27">
    <w:abstractNumId w:val="15"/>
  </w:num>
  <w:num w:numId="28">
    <w:abstractNumId w:val="12"/>
  </w:num>
  <w:num w:numId="29">
    <w:abstractNumId w:val="6"/>
    <w:lvlOverride w:ilvl="0">
      <w:startOverride w:val="9"/>
    </w:lvlOverride>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sv-SE" w:vendorID="22"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2A"/>
    <w:rsid w:val="000029DC"/>
    <w:rsid w:val="00024DF5"/>
    <w:rsid w:val="000253F9"/>
    <w:rsid w:val="000258DE"/>
    <w:rsid w:val="000447D7"/>
    <w:rsid w:val="000456B0"/>
    <w:rsid w:val="00045B93"/>
    <w:rsid w:val="00061FF3"/>
    <w:rsid w:val="0007429D"/>
    <w:rsid w:val="0009563C"/>
    <w:rsid w:val="000D2962"/>
    <w:rsid w:val="000D7499"/>
    <w:rsid w:val="000F698F"/>
    <w:rsid w:val="000F6A3F"/>
    <w:rsid w:val="00105439"/>
    <w:rsid w:val="001219CD"/>
    <w:rsid w:val="001450CC"/>
    <w:rsid w:val="00174BC3"/>
    <w:rsid w:val="0017636F"/>
    <w:rsid w:val="00187F64"/>
    <w:rsid w:val="0019258D"/>
    <w:rsid w:val="001B20B3"/>
    <w:rsid w:val="001B431D"/>
    <w:rsid w:val="001F1C20"/>
    <w:rsid w:val="002114BC"/>
    <w:rsid w:val="002114DA"/>
    <w:rsid w:val="00222280"/>
    <w:rsid w:val="00243644"/>
    <w:rsid w:val="00252DEE"/>
    <w:rsid w:val="00254115"/>
    <w:rsid w:val="002834EC"/>
    <w:rsid w:val="002A0B33"/>
    <w:rsid w:val="002A6D6F"/>
    <w:rsid w:val="00304A4A"/>
    <w:rsid w:val="00307694"/>
    <w:rsid w:val="00361163"/>
    <w:rsid w:val="003627A2"/>
    <w:rsid w:val="00366F6D"/>
    <w:rsid w:val="003875FC"/>
    <w:rsid w:val="003B0E7D"/>
    <w:rsid w:val="003C64AF"/>
    <w:rsid w:val="003D1CF9"/>
    <w:rsid w:val="003D6BB0"/>
    <w:rsid w:val="003F4ADA"/>
    <w:rsid w:val="003F6526"/>
    <w:rsid w:val="0040359B"/>
    <w:rsid w:val="004506D5"/>
    <w:rsid w:val="00452C07"/>
    <w:rsid w:val="00452C0A"/>
    <w:rsid w:val="00454C39"/>
    <w:rsid w:val="00480E04"/>
    <w:rsid w:val="004C08C2"/>
    <w:rsid w:val="004C25C7"/>
    <w:rsid w:val="004C5FA1"/>
    <w:rsid w:val="004D5ACA"/>
    <w:rsid w:val="0050763D"/>
    <w:rsid w:val="00520141"/>
    <w:rsid w:val="00535466"/>
    <w:rsid w:val="00564333"/>
    <w:rsid w:val="00571108"/>
    <w:rsid w:val="005805DD"/>
    <w:rsid w:val="00586884"/>
    <w:rsid w:val="0059173C"/>
    <w:rsid w:val="005A273D"/>
    <w:rsid w:val="005B1C7F"/>
    <w:rsid w:val="005B7773"/>
    <w:rsid w:val="005C6A24"/>
    <w:rsid w:val="005D7102"/>
    <w:rsid w:val="005E52C0"/>
    <w:rsid w:val="005E6285"/>
    <w:rsid w:val="005E63EB"/>
    <w:rsid w:val="005F2101"/>
    <w:rsid w:val="005F40D5"/>
    <w:rsid w:val="00600826"/>
    <w:rsid w:val="00610D4C"/>
    <w:rsid w:val="00625B97"/>
    <w:rsid w:val="0063000B"/>
    <w:rsid w:val="006338B4"/>
    <w:rsid w:val="0065310E"/>
    <w:rsid w:val="00654878"/>
    <w:rsid w:val="00663EBD"/>
    <w:rsid w:val="006652D2"/>
    <w:rsid w:val="00665FE3"/>
    <w:rsid w:val="0067281F"/>
    <w:rsid w:val="006826D5"/>
    <w:rsid w:val="00694C20"/>
    <w:rsid w:val="006A0893"/>
    <w:rsid w:val="006E17DB"/>
    <w:rsid w:val="00713E1A"/>
    <w:rsid w:val="00725FE4"/>
    <w:rsid w:val="00732250"/>
    <w:rsid w:val="007327D1"/>
    <w:rsid w:val="007536ED"/>
    <w:rsid w:val="0076713E"/>
    <w:rsid w:val="00775B90"/>
    <w:rsid w:val="007B075C"/>
    <w:rsid w:val="007C1583"/>
    <w:rsid w:val="007F0CB3"/>
    <w:rsid w:val="007F574C"/>
    <w:rsid w:val="007F7C9E"/>
    <w:rsid w:val="0089022A"/>
    <w:rsid w:val="00890DAC"/>
    <w:rsid w:val="0089185C"/>
    <w:rsid w:val="008D0E0C"/>
    <w:rsid w:val="008D1356"/>
    <w:rsid w:val="008D4212"/>
    <w:rsid w:val="008F14D4"/>
    <w:rsid w:val="0091431A"/>
    <w:rsid w:val="00921174"/>
    <w:rsid w:val="00935DB3"/>
    <w:rsid w:val="00941ACE"/>
    <w:rsid w:val="00955BC6"/>
    <w:rsid w:val="0095780B"/>
    <w:rsid w:val="00976157"/>
    <w:rsid w:val="00997718"/>
    <w:rsid w:val="009A4D42"/>
    <w:rsid w:val="009B40C5"/>
    <w:rsid w:val="009D0414"/>
    <w:rsid w:val="009D3A95"/>
    <w:rsid w:val="00A200C9"/>
    <w:rsid w:val="00A67E92"/>
    <w:rsid w:val="00A8250F"/>
    <w:rsid w:val="00A826E2"/>
    <w:rsid w:val="00A97CFF"/>
    <w:rsid w:val="00AA42D2"/>
    <w:rsid w:val="00AE2351"/>
    <w:rsid w:val="00AF237C"/>
    <w:rsid w:val="00B20B98"/>
    <w:rsid w:val="00B276F3"/>
    <w:rsid w:val="00B41BB2"/>
    <w:rsid w:val="00B508D3"/>
    <w:rsid w:val="00B6468D"/>
    <w:rsid w:val="00B729D1"/>
    <w:rsid w:val="00BD5B18"/>
    <w:rsid w:val="00BE1E86"/>
    <w:rsid w:val="00BF2768"/>
    <w:rsid w:val="00C01421"/>
    <w:rsid w:val="00C0381E"/>
    <w:rsid w:val="00C043B9"/>
    <w:rsid w:val="00C16A66"/>
    <w:rsid w:val="00C205BC"/>
    <w:rsid w:val="00C35709"/>
    <w:rsid w:val="00C41ACB"/>
    <w:rsid w:val="00C41EC7"/>
    <w:rsid w:val="00C65A95"/>
    <w:rsid w:val="00C7602F"/>
    <w:rsid w:val="00C91BCB"/>
    <w:rsid w:val="00C94A99"/>
    <w:rsid w:val="00C953C6"/>
    <w:rsid w:val="00CA41C5"/>
    <w:rsid w:val="00CF6AC3"/>
    <w:rsid w:val="00D00A87"/>
    <w:rsid w:val="00D00DC3"/>
    <w:rsid w:val="00D363FB"/>
    <w:rsid w:val="00D53038"/>
    <w:rsid w:val="00D53B10"/>
    <w:rsid w:val="00D55A42"/>
    <w:rsid w:val="00D9568E"/>
    <w:rsid w:val="00D96E36"/>
    <w:rsid w:val="00DA4ACB"/>
    <w:rsid w:val="00DB176E"/>
    <w:rsid w:val="00DC2A7B"/>
    <w:rsid w:val="00DD0E61"/>
    <w:rsid w:val="00DD2CAD"/>
    <w:rsid w:val="00DE0512"/>
    <w:rsid w:val="00DE544A"/>
    <w:rsid w:val="00E0592C"/>
    <w:rsid w:val="00E11740"/>
    <w:rsid w:val="00E31AAB"/>
    <w:rsid w:val="00E54159"/>
    <w:rsid w:val="00E7090E"/>
    <w:rsid w:val="00E96F94"/>
    <w:rsid w:val="00EB1B5F"/>
    <w:rsid w:val="00F35BFF"/>
    <w:rsid w:val="00F47C27"/>
    <w:rsid w:val="00F543D3"/>
    <w:rsid w:val="00F84A2B"/>
    <w:rsid w:val="00FA7A65"/>
    <w:rsid w:val="00FB4198"/>
    <w:rsid w:val="00FB6158"/>
    <w:rsid w:val="00FC2BC3"/>
    <w:rsid w:val="00FC57DB"/>
    <w:rsid w:val="00FD6C3C"/>
    <w:rsid w:val="00FE2C5F"/>
    <w:rsid w:val="00FF1CC3"/>
    <w:rsid w:val="00FF7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rFonts w:ascii="Times New Roman" w:hAnsi="Times New Roman"/>
      <w:sz w:val="24"/>
    </w:rPr>
  </w:style>
  <w:style w:type="paragraph" w:styleId="Rubrik1">
    <w:name w:val="heading 1"/>
    <w:basedOn w:val="Normal"/>
    <w:next w:val="Brdtext"/>
    <w:qFormat/>
    <w:rsid w:val="00EB1B5F"/>
    <w:pPr>
      <w:spacing w:before="240"/>
      <w:outlineLvl w:val="0"/>
    </w:pPr>
    <w:rPr>
      <w:rFonts w:ascii="Arial" w:hAnsi="Arial"/>
      <w:b/>
      <w:sz w:val="28"/>
    </w:rPr>
  </w:style>
  <w:style w:type="paragraph" w:styleId="Rubrik2">
    <w:name w:val="heading 2"/>
    <w:basedOn w:val="Normal"/>
    <w:next w:val="Brdtext"/>
    <w:qFormat/>
    <w:rsid w:val="00EB1B5F"/>
    <w:pPr>
      <w:spacing w:before="240"/>
      <w:outlineLvl w:val="1"/>
    </w:pPr>
    <w:rPr>
      <w:rFonts w:ascii="Arial" w:hAnsi="Arial"/>
      <w:b/>
    </w:rPr>
  </w:style>
  <w:style w:type="paragraph" w:styleId="Rubrik3">
    <w:name w:val="heading 3"/>
    <w:basedOn w:val="Normal"/>
    <w:next w:val="Brdtext"/>
    <w:qFormat/>
    <w:rsid w:val="00EB1B5F"/>
    <w:pPr>
      <w:spacing w:before="240"/>
      <w:outlineLvl w:val="2"/>
    </w:pPr>
    <w:rPr>
      <w:rFonts w:ascii="Arial" w:hAnsi="Arial"/>
      <w:b/>
      <w:sz w:val="20"/>
    </w:rPr>
  </w:style>
  <w:style w:type="paragraph" w:styleId="Rubrik4">
    <w:name w:val="heading 4"/>
    <w:basedOn w:val="Normal"/>
    <w:next w:val="Brdtext"/>
    <w:qFormat/>
    <w:rsid w:val="006338B4"/>
    <w:pPr>
      <w:keepNext/>
      <w:spacing w:before="240" w:after="240"/>
      <w:outlineLvl w:val="3"/>
    </w:pPr>
    <w:rPr>
      <w:rFonts w:ascii="Arial" w:hAnsi="Arial"/>
      <w:b/>
    </w:rPr>
  </w:style>
  <w:style w:type="paragraph" w:styleId="Rubrik5">
    <w:name w:val="heading 5"/>
    <w:basedOn w:val="Normal"/>
    <w:next w:val="Normal"/>
    <w:qFormat/>
    <w:pPr>
      <w:numPr>
        <w:ilvl w:val="4"/>
        <w:numId w:val="1"/>
      </w:numPr>
      <w:spacing w:before="240" w:after="60"/>
      <w:outlineLvl w:val="4"/>
    </w:pPr>
    <w:rPr>
      <w:rFonts w:ascii="Arial" w:hAnsi="Arial"/>
      <w:sz w:val="22"/>
    </w:rPr>
  </w:style>
  <w:style w:type="paragraph" w:styleId="Rubrik6">
    <w:name w:val="heading 6"/>
    <w:basedOn w:val="Normal"/>
    <w:next w:val="Normal"/>
    <w:qFormat/>
    <w:pPr>
      <w:numPr>
        <w:ilvl w:val="5"/>
        <w:numId w:val="1"/>
      </w:numPr>
      <w:spacing w:before="240" w:after="60"/>
      <w:outlineLvl w:val="5"/>
    </w:pPr>
    <w:rPr>
      <w:rFonts w:ascii="Arial" w:hAnsi="Arial"/>
      <w:i/>
      <w:sz w:val="22"/>
    </w:rPr>
  </w:style>
  <w:style w:type="paragraph" w:styleId="Rubrik7">
    <w:name w:val="heading 7"/>
    <w:basedOn w:val="Normal"/>
    <w:next w:val="Normal"/>
    <w:qFormat/>
    <w:pPr>
      <w:numPr>
        <w:ilvl w:val="6"/>
        <w:numId w:val="1"/>
      </w:numPr>
      <w:spacing w:before="240" w:after="60"/>
      <w:outlineLvl w:val="6"/>
    </w:pPr>
    <w:rPr>
      <w:rFonts w:ascii="Arial" w:hAnsi="Arial"/>
      <w:sz w:val="20"/>
    </w:rPr>
  </w:style>
  <w:style w:type="paragraph" w:styleId="Rubrik8">
    <w:name w:val="heading 8"/>
    <w:basedOn w:val="Normal"/>
    <w:next w:val="Normal"/>
    <w:qFormat/>
    <w:pPr>
      <w:numPr>
        <w:ilvl w:val="7"/>
        <w:numId w:val="1"/>
      </w:numPr>
      <w:spacing w:before="240" w:after="60"/>
      <w:outlineLvl w:val="7"/>
    </w:pPr>
    <w:rPr>
      <w:rFonts w:ascii="Arial" w:hAnsi="Arial"/>
      <w:i/>
      <w:sz w:val="20"/>
    </w:rPr>
  </w:style>
  <w:style w:type="paragraph" w:styleId="Rubrik9">
    <w:name w:val="heading 9"/>
    <w:basedOn w:val="Normal"/>
    <w:next w:val="Normal"/>
    <w:qFormat/>
    <w:pPr>
      <w:numPr>
        <w:ilvl w:val="8"/>
        <w:numId w:val="1"/>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198"/>
    <w:pPr>
      <w:spacing w:after="240"/>
    </w:pPr>
    <w:rPr>
      <w:rFonts w:ascii="Garamond" w:hAnsi="Garamond"/>
    </w:rPr>
  </w:style>
  <w:style w:type="paragraph" w:styleId="Rubrik">
    <w:name w:val="Title"/>
    <w:basedOn w:val="Rubrik1"/>
    <w:next w:val="Normal"/>
    <w:pPr>
      <w:spacing w:after="60"/>
    </w:pPr>
  </w:style>
  <w:style w:type="paragraph" w:styleId="Ballongtext">
    <w:name w:val="Balloon Text"/>
    <w:basedOn w:val="Normal"/>
    <w:semiHidden/>
    <w:rPr>
      <w:rFonts w:ascii="Tahoma" w:hAnsi="Tahoma" w:cs="Tahoma"/>
      <w:sz w:val="16"/>
      <w:szCs w:val="16"/>
    </w:rPr>
  </w:style>
  <w:style w:type="paragraph" w:styleId="Slutkommentar">
    <w:name w:val="endnote text"/>
    <w:basedOn w:val="Normal"/>
    <w:semiHidden/>
    <w:rPr>
      <w:sz w:val="20"/>
    </w:rPr>
  </w:style>
  <w:style w:type="character" w:styleId="Slutkommentarsreferens">
    <w:name w:val="endnote reference"/>
    <w:semiHidden/>
    <w:rPr>
      <w:vertAlign w:val="superscript"/>
    </w:rPr>
  </w:style>
  <w:style w:type="paragraph" w:styleId="Innehll1">
    <w:name w:val="toc 1"/>
    <w:basedOn w:val="Normal"/>
    <w:next w:val="Brdtext"/>
    <w:autoRedefine/>
    <w:semiHidden/>
    <w:rsid w:val="00452C07"/>
    <w:pPr>
      <w:spacing w:after="100"/>
    </w:pPr>
    <w:rPr>
      <w:rFonts w:ascii="Garamond" w:hAnsi="Garamond"/>
      <w:bCs/>
      <w:szCs w:val="24"/>
    </w:rPr>
  </w:style>
  <w:style w:type="paragraph" w:styleId="Innehll2">
    <w:name w:val="toc 2"/>
    <w:basedOn w:val="Normal"/>
    <w:next w:val="Brdtext"/>
    <w:autoRedefine/>
    <w:semiHidden/>
    <w:rsid w:val="00452C07"/>
    <w:pPr>
      <w:spacing w:after="100"/>
      <w:ind w:left="238"/>
    </w:pPr>
    <w:rPr>
      <w:rFonts w:ascii="Garamond" w:hAnsi="Garamond"/>
      <w:szCs w:val="24"/>
    </w:rPr>
  </w:style>
  <w:style w:type="paragraph" w:styleId="Innehll3">
    <w:name w:val="toc 3"/>
    <w:basedOn w:val="Normal"/>
    <w:next w:val="Brdtext"/>
    <w:autoRedefine/>
    <w:semiHidden/>
    <w:rsid w:val="00452C07"/>
    <w:pPr>
      <w:spacing w:after="100"/>
      <w:ind w:left="482"/>
    </w:pPr>
    <w:rPr>
      <w:rFonts w:ascii="Garamond" w:hAnsi="Garamond"/>
      <w:szCs w:val="24"/>
    </w:rPr>
  </w:style>
  <w:style w:type="paragraph" w:styleId="Innehll4">
    <w:name w:val="toc 4"/>
    <w:basedOn w:val="Normal"/>
    <w:next w:val="Brdtext"/>
    <w:autoRedefine/>
    <w:semiHidden/>
    <w:rsid w:val="00452C07"/>
    <w:pPr>
      <w:spacing w:after="100"/>
      <w:ind w:left="720"/>
    </w:pPr>
    <w:rPr>
      <w:rFonts w:ascii="Garamond" w:hAnsi="Garamond"/>
      <w:szCs w:val="21"/>
    </w:rPr>
  </w:style>
  <w:style w:type="paragraph" w:styleId="Innehll5">
    <w:name w:val="toc 5"/>
    <w:basedOn w:val="Normal"/>
    <w:next w:val="Brdtext"/>
    <w:autoRedefine/>
    <w:semiHidden/>
    <w:rsid w:val="00452C07"/>
    <w:pPr>
      <w:spacing w:after="100"/>
      <w:ind w:left="958"/>
    </w:pPr>
    <w:rPr>
      <w:rFonts w:ascii="Garamond" w:hAnsi="Garamond"/>
      <w:szCs w:val="21"/>
    </w:rPr>
  </w:style>
  <w:style w:type="paragraph" w:styleId="Innehll6">
    <w:name w:val="toc 6"/>
    <w:basedOn w:val="Normal"/>
    <w:next w:val="Brdtext"/>
    <w:autoRedefine/>
    <w:semiHidden/>
    <w:rsid w:val="00AE2351"/>
    <w:pPr>
      <w:spacing w:after="100"/>
      <w:ind w:left="1202"/>
    </w:pPr>
    <w:rPr>
      <w:rFonts w:ascii="Garamond" w:hAnsi="Garamond"/>
      <w:szCs w:val="21"/>
    </w:rPr>
  </w:style>
  <w:style w:type="paragraph" w:styleId="Innehll7">
    <w:name w:val="toc 7"/>
    <w:basedOn w:val="Normal"/>
    <w:next w:val="Brdtext"/>
    <w:autoRedefine/>
    <w:semiHidden/>
    <w:rsid w:val="00AE2351"/>
    <w:pPr>
      <w:spacing w:after="100"/>
      <w:ind w:left="1440"/>
    </w:pPr>
    <w:rPr>
      <w:rFonts w:ascii="Garamond" w:hAnsi="Garamond"/>
      <w:szCs w:val="21"/>
    </w:rPr>
  </w:style>
  <w:style w:type="paragraph" w:styleId="Innehll8">
    <w:name w:val="toc 8"/>
    <w:basedOn w:val="Normal"/>
    <w:next w:val="Brdtext"/>
    <w:autoRedefine/>
    <w:semiHidden/>
    <w:rsid w:val="00AE2351"/>
    <w:pPr>
      <w:spacing w:after="100"/>
      <w:ind w:left="1678"/>
    </w:pPr>
    <w:rPr>
      <w:rFonts w:ascii="Garamond" w:hAnsi="Garamond"/>
      <w:szCs w:val="21"/>
    </w:rPr>
  </w:style>
  <w:style w:type="paragraph" w:styleId="Innehll9">
    <w:name w:val="toc 9"/>
    <w:basedOn w:val="Normal"/>
    <w:next w:val="Brdtext"/>
    <w:autoRedefine/>
    <w:semiHidden/>
    <w:rsid w:val="00AE2351"/>
    <w:pPr>
      <w:spacing w:after="100"/>
      <w:ind w:left="1922"/>
    </w:pPr>
    <w:rPr>
      <w:rFonts w:ascii="Garamond" w:hAnsi="Garamond"/>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customStyle="1" w:styleId="Mellanrubrik">
    <w:name w:val="Mellanrubrik"/>
    <w:basedOn w:val="Rubrik"/>
    <w:next w:val="Normal"/>
    <w:pPr>
      <w:outlineLvl w:val="1"/>
    </w:p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qFormat/>
    <w:rsid w:val="000F6A3F"/>
    <w:pPr>
      <w:tabs>
        <w:tab w:val="center" w:pos="4536"/>
        <w:tab w:val="right" w:pos="9072"/>
      </w:tabs>
    </w:pPr>
  </w:style>
  <w:style w:type="character" w:customStyle="1" w:styleId="SidhuvudChar">
    <w:name w:val="Sidhuvud Char"/>
    <w:link w:val="Sidhuvud"/>
    <w:uiPriority w:val="99"/>
    <w:rsid w:val="000F6A3F"/>
    <w:rPr>
      <w:rFonts w:ascii="Times New Roman" w:hAnsi="Times New Roman"/>
      <w:sz w:val="24"/>
    </w:rPr>
  </w:style>
  <w:style w:type="paragraph" w:styleId="Sidfot">
    <w:name w:val="footer"/>
    <w:basedOn w:val="Normal"/>
    <w:link w:val="SidfotChar"/>
    <w:uiPriority w:val="99"/>
    <w:unhideWhenUsed/>
    <w:rsid w:val="000F6A3F"/>
    <w:pPr>
      <w:tabs>
        <w:tab w:val="center" w:pos="4536"/>
        <w:tab w:val="right" w:pos="9072"/>
      </w:tabs>
    </w:pPr>
  </w:style>
  <w:style w:type="character" w:customStyle="1" w:styleId="SidfotChar">
    <w:name w:val="Sidfot Char"/>
    <w:link w:val="Sidfot"/>
    <w:uiPriority w:val="99"/>
    <w:rsid w:val="000F6A3F"/>
    <w:rPr>
      <w:rFonts w:ascii="Times New Roman" w:hAnsi="Times New Roman"/>
      <w:sz w:val="24"/>
    </w:rPr>
  </w:style>
  <w:style w:type="paragraph" w:styleId="Liststycke">
    <w:name w:val="List Paragraph"/>
    <w:basedOn w:val="Normal"/>
    <w:uiPriority w:val="34"/>
    <w:rsid w:val="00F543D3"/>
    <w:pPr>
      <w:ind w:left="720"/>
      <w:contextualSpacing/>
    </w:pPr>
  </w:style>
  <w:style w:type="paragraph" w:styleId="Innehllsfrteckningsrubrik">
    <w:name w:val="TOC Heading"/>
    <w:basedOn w:val="Rubrik1"/>
    <w:next w:val="Brdtext"/>
    <w:uiPriority w:val="39"/>
    <w:unhideWhenUsed/>
    <w:qFormat/>
    <w:rsid w:val="00663EBD"/>
    <w:pPr>
      <w:keepNext/>
      <w:keepLines/>
      <w:spacing w:line="259" w:lineRule="auto"/>
      <w:outlineLvl w:val="9"/>
    </w:pPr>
    <w:rPr>
      <w:rFonts w:eastAsiaTheme="majorEastAsia" w:cstheme="majorBidi"/>
      <w:b w:val="0"/>
      <w:sz w:val="24"/>
      <w:szCs w:val="32"/>
    </w:rPr>
  </w:style>
  <w:style w:type="table" w:customStyle="1" w:styleId="LTtabell">
    <w:name w:val="LT_tabell"/>
    <w:basedOn w:val="Normaltabell"/>
    <w:uiPriority w:val="99"/>
    <w:rsid w:val="00713E1A"/>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hemeFill="background1" w:themeFillShade="D9"/>
      </w:tcPr>
    </w:tblStylePr>
  </w:style>
  <w:style w:type="table" w:customStyle="1" w:styleId="GridTable1Light">
    <w:name w:val="Grid Table 1 Light"/>
    <w:basedOn w:val="Normaltabell"/>
    <w:uiPriority w:val="46"/>
    <w:rsid w:val="00713E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6Colorful">
    <w:name w:val="List Table 6 Colorful"/>
    <w:basedOn w:val="Normaltabell"/>
    <w:uiPriority w:val="51"/>
    <w:rsid w:val="00713E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Normaltabell"/>
    <w:uiPriority w:val="40"/>
    <w:rsid w:val="00045B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vudrubrik">
    <w:name w:val="Huvudrubrik"/>
    <w:basedOn w:val="Normal"/>
    <w:next w:val="Normal"/>
    <w:rsid w:val="0089022A"/>
    <w:pPr>
      <w:spacing w:before="240" w:after="120"/>
      <w:outlineLvl w:val="0"/>
    </w:pPr>
    <w:rPr>
      <w:rFonts w:ascii="Arial" w:hAnsi="Arial" w:cs="Arial"/>
      <w:b/>
      <w:sz w:val="28"/>
      <w:szCs w:val="28"/>
    </w:rPr>
  </w:style>
  <w:style w:type="character" w:customStyle="1" w:styleId="BrdtextChar">
    <w:name w:val="Brödtext Char"/>
    <w:basedOn w:val="Standardstycketeckensnitt"/>
    <w:link w:val="Brdtext"/>
    <w:rsid w:val="0017636F"/>
    <w:rPr>
      <w:rFonts w:ascii="Garamond" w:hAnsi="Garamond"/>
      <w:sz w:val="24"/>
    </w:rPr>
  </w:style>
  <w:style w:type="character" w:styleId="Hyperlnk">
    <w:name w:val="Hyperlink"/>
    <w:basedOn w:val="Standardstycketeckensnitt"/>
    <w:uiPriority w:val="99"/>
    <w:unhideWhenUsed/>
    <w:rsid w:val="001763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rFonts w:ascii="Times New Roman" w:hAnsi="Times New Roman"/>
      <w:sz w:val="24"/>
    </w:rPr>
  </w:style>
  <w:style w:type="paragraph" w:styleId="Rubrik1">
    <w:name w:val="heading 1"/>
    <w:basedOn w:val="Normal"/>
    <w:next w:val="Brdtext"/>
    <w:qFormat/>
    <w:rsid w:val="00EB1B5F"/>
    <w:pPr>
      <w:spacing w:before="240"/>
      <w:outlineLvl w:val="0"/>
    </w:pPr>
    <w:rPr>
      <w:rFonts w:ascii="Arial" w:hAnsi="Arial"/>
      <w:b/>
      <w:sz w:val="28"/>
    </w:rPr>
  </w:style>
  <w:style w:type="paragraph" w:styleId="Rubrik2">
    <w:name w:val="heading 2"/>
    <w:basedOn w:val="Normal"/>
    <w:next w:val="Brdtext"/>
    <w:qFormat/>
    <w:rsid w:val="00EB1B5F"/>
    <w:pPr>
      <w:spacing w:before="240"/>
      <w:outlineLvl w:val="1"/>
    </w:pPr>
    <w:rPr>
      <w:rFonts w:ascii="Arial" w:hAnsi="Arial"/>
      <w:b/>
    </w:rPr>
  </w:style>
  <w:style w:type="paragraph" w:styleId="Rubrik3">
    <w:name w:val="heading 3"/>
    <w:basedOn w:val="Normal"/>
    <w:next w:val="Brdtext"/>
    <w:qFormat/>
    <w:rsid w:val="00EB1B5F"/>
    <w:pPr>
      <w:spacing w:before="240"/>
      <w:outlineLvl w:val="2"/>
    </w:pPr>
    <w:rPr>
      <w:rFonts w:ascii="Arial" w:hAnsi="Arial"/>
      <w:b/>
      <w:sz w:val="20"/>
    </w:rPr>
  </w:style>
  <w:style w:type="paragraph" w:styleId="Rubrik4">
    <w:name w:val="heading 4"/>
    <w:basedOn w:val="Normal"/>
    <w:next w:val="Brdtext"/>
    <w:qFormat/>
    <w:rsid w:val="006338B4"/>
    <w:pPr>
      <w:keepNext/>
      <w:spacing w:before="240" w:after="240"/>
      <w:outlineLvl w:val="3"/>
    </w:pPr>
    <w:rPr>
      <w:rFonts w:ascii="Arial" w:hAnsi="Arial"/>
      <w:b/>
    </w:rPr>
  </w:style>
  <w:style w:type="paragraph" w:styleId="Rubrik5">
    <w:name w:val="heading 5"/>
    <w:basedOn w:val="Normal"/>
    <w:next w:val="Normal"/>
    <w:qFormat/>
    <w:pPr>
      <w:numPr>
        <w:ilvl w:val="4"/>
        <w:numId w:val="1"/>
      </w:numPr>
      <w:spacing w:before="240" w:after="60"/>
      <w:outlineLvl w:val="4"/>
    </w:pPr>
    <w:rPr>
      <w:rFonts w:ascii="Arial" w:hAnsi="Arial"/>
      <w:sz w:val="22"/>
    </w:rPr>
  </w:style>
  <w:style w:type="paragraph" w:styleId="Rubrik6">
    <w:name w:val="heading 6"/>
    <w:basedOn w:val="Normal"/>
    <w:next w:val="Normal"/>
    <w:qFormat/>
    <w:pPr>
      <w:numPr>
        <w:ilvl w:val="5"/>
        <w:numId w:val="1"/>
      </w:numPr>
      <w:spacing w:before="240" w:after="60"/>
      <w:outlineLvl w:val="5"/>
    </w:pPr>
    <w:rPr>
      <w:rFonts w:ascii="Arial" w:hAnsi="Arial"/>
      <w:i/>
      <w:sz w:val="22"/>
    </w:rPr>
  </w:style>
  <w:style w:type="paragraph" w:styleId="Rubrik7">
    <w:name w:val="heading 7"/>
    <w:basedOn w:val="Normal"/>
    <w:next w:val="Normal"/>
    <w:qFormat/>
    <w:pPr>
      <w:numPr>
        <w:ilvl w:val="6"/>
        <w:numId w:val="1"/>
      </w:numPr>
      <w:spacing w:before="240" w:after="60"/>
      <w:outlineLvl w:val="6"/>
    </w:pPr>
    <w:rPr>
      <w:rFonts w:ascii="Arial" w:hAnsi="Arial"/>
      <w:sz w:val="20"/>
    </w:rPr>
  </w:style>
  <w:style w:type="paragraph" w:styleId="Rubrik8">
    <w:name w:val="heading 8"/>
    <w:basedOn w:val="Normal"/>
    <w:next w:val="Normal"/>
    <w:qFormat/>
    <w:pPr>
      <w:numPr>
        <w:ilvl w:val="7"/>
        <w:numId w:val="1"/>
      </w:numPr>
      <w:spacing w:before="240" w:after="60"/>
      <w:outlineLvl w:val="7"/>
    </w:pPr>
    <w:rPr>
      <w:rFonts w:ascii="Arial" w:hAnsi="Arial"/>
      <w:i/>
      <w:sz w:val="20"/>
    </w:rPr>
  </w:style>
  <w:style w:type="paragraph" w:styleId="Rubrik9">
    <w:name w:val="heading 9"/>
    <w:basedOn w:val="Normal"/>
    <w:next w:val="Normal"/>
    <w:qFormat/>
    <w:pPr>
      <w:numPr>
        <w:ilvl w:val="8"/>
        <w:numId w:val="1"/>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198"/>
    <w:pPr>
      <w:spacing w:after="240"/>
    </w:pPr>
    <w:rPr>
      <w:rFonts w:ascii="Garamond" w:hAnsi="Garamond"/>
    </w:rPr>
  </w:style>
  <w:style w:type="paragraph" w:styleId="Rubrik">
    <w:name w:val="Title"/>
    <w:basedOn w:val="Rubrik1"/>
    <w:next w:val="Normal"/>
    <w:pPr>
      <w:spacing w:after="60"/>
    </w:pPr>
  </w:style>
  <w:style w:type="paragraph" w:styleId="Ballongtext">
    <w:name w:val="Balloon Text"/>
    <w:basedOn w:val="Normal"/>
    <w:semiHidden/>
    <w:rPr>
      <w:rFonts w:ascii="Tahoma" w:hAnsi="Tahoma" w:cs="Tahoma"/>
      <w:sz w:val="16"/>
      <w:szCs w:val="16"/>
    </w:rPr>
  </w:style>
  <w:style w:type="paragraph" w:styleId="Slutkommentar">
    <w:name w:val="endnote text"/>
    <w:basedOn w:val="Normal"/>
    <w:semiHidden/>
    <w:rPr>
      <w:sz w:val="20"/>
    </w:rPr>
  </w:style>
  <w:style w:type="character" w:styleId="Slutkommentarsreferens">
    <w:name w:val="endnote reference"/>
    <w:semiHidden/>
    <w:rPr>
      <w:vertAlign w:val="superscript"/>
    </w:rPr>
  </w:style>
  <w:style w:type="paragraph" w:styleId="Innehll1">
    <w:name w:val="toc 1"/>
    <w:basedOn w:val="Normal"/>
    <w:next w:val="Brdtext"/>
    <w:autoRedefine/>
    <w:semiHidden/>
    <w:rsid w:val="00452C07"/>
    <w:pPr>
      <w:spacing w:after="100"/>
    </w:pPr>
    <w:rPr>
      <w:rFonts w:ascii="Garamond" w:hAnsi="Garamond"/>
      <w:bCs/>
      <w:szCs w:val="24"/>
    </w:rPr>
  </w:style>
  <w:style w:type="paragraph" w:styleId="Innehll2">
    <w:name w:val="toc 2"/>
    <w:basedOn w:val="Normal"/>
    <w:next w:val="Brdtext"/>
    <w:autoRedefine/>
    <w:semiHidden/>
    <w:rsid w:val="00452C07"/>
    <w:pPr>
      <w:spacing w:after="100"/>
      <w:ind w:left="238"/>
    </w:pPr>
    <w:rPr>
      <w:rFonts w:ascii="Garamond" w:hAnsi="Garamond"/>
      <w:szCs w:val="24"/>
    </w:rPr>
  </w:style>
  <w:style w:type="paragraph" w:styleId="Innehll3">
    <w:name w:val="toc 3"/>
    <w:basedOn w:val="Normal"/>
    <w:next w:val="Brdtext"/>
    <w:autoRedefine/>
    <w:semiHidden/>
    <w:rsid w:val="00452C07"/>
    <w:pPr>
      <w:spacing w:after="100"/>
      <w:ind w:left="482"/>
    </w:pPr>
    <w:rPr>
      <w:rFonts w:ascii="Garamond" w:hAnsi="Garamond"/>
      <w:szCs w:val="24"/>
    </w:rPr>
  </w:style>
  <w:style w:type="paragraph" w:styleId="Innehll4">
    <w:name w:val="toc 4"/>
    <w:basedOn w:val="Normal"/>
    <w:next w:val="Brdtext"/>
    <w:autoRedefine/>
    <w:semiHidden/>
    <w:rsid w:val="00452C07"/>
    <w:pPr>
      <w:spacing w:after="100"/>
      <w:ind w:left="720"/>
    </w:pPr>
    <w:rPr>
      <w:rFonts w:ascii="Garamond" w:hAnsi="Garamond"/>
      <w:szCs w:val="21"/>
    </w:rPr>
  </w:style>
  <w:style w:type="paragraph" w:styleId="Innehll5">
    <w:name w:val="toc 5"/>
    <w:basedOn w:val="Normal"/>
    <w:next w:val="Brdtext"/>
    <w:autoRedefine/>
    <w:semiHidden/>
    <w:rsid w:val="00452C07"/>
    <w:pPr>
      <w:spacing w:after="100"/>
      <w:ind w:left="958"/>
    </w:pPr>
    <w:rPr>
      <w:rFonts w:ascii="Garamond" w:hAnsi="Garamond"/>
      <w:szCs w:val="21"/>
    </w:rPr>
  </w:style>
  <w:style w:type="paragraph" w:styleId="Innehll6">
    <w:name w:val="toc 6"/>
    <w:basedOn w:val="Normal"/>
    <w:next w:val="Brdtext"/>
    <w:autoRedefine/>
    <w:semiHidden/>
    <w:rsid w:val="00AE2351"/>
    <w:pPr>
      <w:spacing w:after="100"/>
      <w:ind w:left="1202"/>
    </w:pPr>
    <w:rPr>
      <w:rFonts w:ascii="Garamond" w:hAnsi="Garamond"/>
      <w:szCs w:val="21"/>
    </w:rPr>
  </w:style>
  <w:style w:type="paragraph" w:styleId="Innehll7">
    <w:name w:val="toc 7"/>
    <w:basedOn w:val="Normal"/>
    <w:next w:val="Brdtext"/>
    <w:autoRedefine/>
    <w:semiHidden/>
    <w:rsid w:val="00AE2351"/>
    <w:pPr>
      <w:spacing w:after="100"/>
      <w:ind w:left="1440"/>
    </w:pPr>
    <w:rPr>
      <w:rFonts w:ascii="Garamond" w:hAnsi="Garamond"/>
      <w:szCs w:val="21"/>
    </w:rPr>
  </w:style>
  <w:style w:type="paragraph" w:styleId="Innehll8">
    <w:name w:val="toc 8"/>
    <w:basedOn w:val="Normal"/>
    <w:next w:val="Brdtext"/>
    <w:autoRedefine/>
    <w:semiHidden/>
    <w:rsid w:val="00AE2351"/>
    <w:pPr>
      <w:spacing w:after="100"/>
      <w:ind w:left="1678"/>
    </w:pPr>
    <w:rPr>
      <w:rFonts w:ascii="Garamond" w:hAnsi="Garamond"/>
      <w:szCs w:val="21"/>
    </w:rPr>
  </w:style>
  <w:style w:type="paragraph" w:styleId="Innehll9">
    <w:name w:val="toc 9"/>
    <w:basedOn w:val="Normal"/>
    <w:next w:val="Brdtext"/>
    <w:autoRedefine/>
    <w:semiHidden/>
    <w:rsid w:val="00AE2351"/>
    <w:pPr>
      <w:spacing w:after="100"/>
      <w:ind w:left="1922"/>
    </w:pPr>
    <w:rPr>
      <w:rFonts w:ascii="Garamond" w:hAnsi="Garamond"/>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customStyle="1" w:styleId="Mellanrubrik">
    <w:name w:val="Mellanrubrik"/>
    <w:basedOn w:val="Rubrik"/>
    <w:next w:val="Normal"/>
    <w:pPr>
      <w:outlineLvl w:val="1"/>
    </w:p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qFormat/>
    <w:rsid w:val="000F6A3F"/>
    <w:pPr>
      <w:tabs>
        <w:tab w:val="center" w:pos="4536"/>
        <w:tab w:val="right" w:pos="9072"/>
      </w:tabs>
    </w:pPr>
  </w:style>
  <w:style w:type="character" w:customStyle="1" w:styleId="SidhuvudChar">
    <w:name w:val="Sidhuvud Char"/>
    <w:link w:val="Sidhuvud"/>
    <w:uiPriority w:val="99"/>
    <w:rsid w:val="000F6A3F"/>
    <w:rPr>
      <w:rFonts w:ascii="Times New Roman" w:hAnsi="Times New Roman"/>
      <w:sz w:val="24"/>
    </w:rPr>
  </w:style>
  <w:style w:type="paragraph" w:styleId="Sidfot">
    <w:name w:val="footer"/>
    <w:basedOn w:val="Normal"/>
    <w:link w:val="SidfotChar"/>
    <w:uiPriority w:val="99"/>
    <w:unhideWhenUsed/>
    <w:rsid w:val="000F6A3F"/>
    <w:pPr>
      <w:tabs>
        <w:tab w:val="center" w:pos="4536"/>
        <w:tab w:val="right" w:pos="9072"/>
      </w:tabs>
    </w:pPr>
  </w:style>
  <w:style w:type="character" w:customStyle="1" w:styleId="SidfotChar">
    <w:name w:val="Sidfot Char"/>
    <w:link w:val="Sidfot"/>
    <w:uiPriority w:val="99"/>
    <w:rsid w:val="000F6A3F"/>
    <w:rPr>
      <w:rFonts w:ascii="Times New Roman" w:hAnsi="Times New Roman"/>
      <w:sz w:val="24"/>
    </w:rPr>
  </w:style>
  <w:style w:type="paragraph" w:styleId="Liststycke">
    <w:name w:val="List Paragraph"/>
    <w:basedOn w:val="Normal"/>
    <w:uiPriority w:val="34"/>
    <w:rsid w:val="00F543D3"/>
    <w:pPr>
      <w:ind w:left="720"/>
      <w:contextualSpacing/>
    </w:pPr>
  </w:style>
  <w:style w:type="paragraph" w:styleId="Innehllsfrteckningsrubrik">
    <w:name w:val="TOC Heading"/>
    <w:basedOn w:val="Rubrik1"/>
    <w:next w:val="Brdtext"/>
    <w:uiPriority w:val="39"/>
    <w:unhideWhenUsed/>
    <w:qFormat/>
    <w:rsid w:val="00663EBD"/>
    <w:pPr>
      <w:keepNext/>
      <w:keepLines/>
      <w:spacing w:line="259" w:lineRule="auto"/>
      <w:outlineLvl w:val="9"/>
    </w:pPr>
    <w:rPr>
      <w:rFonts w:eastAsiaTheme="majorEastAsia" w:cstheme="majorBidi"/>
      <w:b w:val="0"/>
      <w:sz w:val="24"/>
      <w:szCs w:val="32"/>
    </w:rPr>
  </w:style>
  <w:style w:type="table" w:customStyle="1" w:styleId="LTtabell">
    <w:name w:val="LT_tabell"/>
    <w:basedOn w:val="Normaltabell"/>
    <w:uiPriority w:val="99"/>
    <w:rsid w:val="00713E1A"/>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hemeFill="background1" w:themeFillShade="D9"/>
      </w:tcPr>
    </w:tblStylePr>
  </w:style>
  <w:style w:type="table" w:customStyle="1" w:styleId="GridTable1Light">
    <w:name w:val="Grid Table 1 Light"/>
    <w:basedOn w:val="Normaltabell"/>
    <w:uiPriority w:val="46"/>
    <w:rsid w:val="00713E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6Colorful">
    <w:name w:val="List Table 6 Colorful"/>
    <w:basedOn w:val="Normaltabell"/>
    <w:uiPriority w:val="51"/>
    <w:rsid w:val="00713E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Normaltabell"/>
    <w:uiPriority w:val="40"/>
    <w:rsid w:val="00045B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vudrubrik">
    <w:name w:val="Huvudrubrik"/>
    <w:basedOn w:val="Normal"/>
    <w:next w:val="Normal"/>
    <w:rsid w:val="0089022A"/>
    <w:pPr>
      <w:spacing w:before="240" w:after="120"/>
      <w:outlineLvl w:val="0"/>
    </w:pPr>
    <w:rPr>
      <w:rFonts w:ascii="Arial" w:hAnsi="Arial" w:cs="Arial"/>
      <w:b/>
      <w:sz w:val="28"/>
      <w:szCs w:val="28"/>
    </w:rPr>
  </w:style>
  <w:style w:type="character" w:customStyle="1" w:styleId="BrdtextChar">
    <w:name w:val="Brödtext Char"/>
    <w:basedOn w:val="Standardstycketeckensnitt"/>
    <w:link w:val="Brdtext"/>
    <w:rsid w:val="0017636F"/>
    <w:rPr>
      <w:rFonts w:ascii="Garamond" w:hAnsi="Garamond"/>
      <w:sz w:val="24"/>
    </w:rPr>
  </w:style>
  <w:style w:type="character" w:styleId="Hyperlnk">
    <w:name w:val="Hyperlink"/>
    <w:basedOn w:val="Standardstycketeckensnitt"/>
    <w:uiPriority w:val="99"/>
    <w:unhideWhenUsed/>
    <w:rsid w:val="00176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9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atainspektionen.se/lagar--regler/patientdatalag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5B5F-43AB-4329-B84A-DE62246D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EF5F53F5</Template>
  <TotalTime>497</TotalTime>
  <Pages>1</Pages>
  <Words>3159</Words>
  <Characters>16744</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Brev</vt:lpstr>
    </vt:vector>
  </TitlesOfParts>
  <Company>Landstinget Kronoberg</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Thorstensson Maria SEC upphandlingsavd</dc:creator>
  <cp:lastModifiedBy>Wallén Johan RST upphandlingsenh</cp:lastModifiedBy>
  <cp:revision>25</cp:revision>
  <cp:lastPrinted>2015-01-22T14:25:00Z</cp:lastPrinted>
  <dcterms:created xsi:type="dcterms:W3CDTF">2017-06-28T06:52:00Z</dcterms:created>
  <dcterms:modified xsi:type="dcterms:W3CDTF">2019-09-12T13:04:00Z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1379415195</vt:i4>
  </property>
  <property fmtid="{D5CDD505-2E9C-101B-9397-08002B2CF9AE}" pid="3" name="_EmailSubject">
    <vt:lpwstr/>
  </property>
  <property fmtid="{D5CDD505-2E9C-101B-9397-08002B2CF9AE}" pid="4" name="_AuthorEmail">
    <vt:lpwstr>ingrid.persson@ltkronoberg.se</vt:lpwstr>
  </property>
  <property fmtid="{D5CDD505-2E9C-101B-9397-08002B2CF9AE}" pid="5" name="_AuthorEmailDisplayName">
    <vt:lpwstr>Persson Ingrid LE Ledn enh Kansli</vt:lpwstr>
  </property>
  <property fmtid="{D5CDD505-2E9C-101B-9397-08002B2CF9AE}" pid="6" name="_ReviewingToolsShownOnce">
    <vt:lpwstr/>
  </property>
</Properties>
</file>