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84" w:rsidRDefault="00231784">
      <w:pPr>
        <w:sectPr w:rsidR="00231784" w:rsidSect="00E87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:rsidR="00FF24EB" w:rsidRDefault="008E27F5" w:rsidP="00D87D2B">
      <w:pPr>
        <w:pStyle w:val="Rubrik1"/>
        <w:spacing w:before="0"/>
      </w:pPr>
      <w:r>
        <w:t>Tolkningsstöd för frågor om alkohol</w:t>
      </w:r>
      <w:r w:rsidR="00F167DB">
        <w:t xml:space="preserve"> – AUDIT</w:t>
      </w:r>
      <w:r w:rsidR="003C6BBE">
        <w:t>-</w:t>
      </w:r>
      <w:r w:rsidR="00F167DB">
        <w:t>C</w:t>
      </w:r>
    </w:p>
    <w:p w:rsidR="00F167DB" w:rsidRDefault="00F167DB" w:rsidP="00F167DB">
      <w:r>
        <w:t>Att tänka på</w:t>
      </w:r>
      <w:r w:rsidR="00D63996">
        <w:t xml:space="preserve"> vid användning av AUDIT</w:t>
      </w:r>
      <w:r w:rsidR="003C6BBE">
        <w:t>-</w:t>
      </w:r>
      <w:r w:rsidR="00D63996">
        <w:t>C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Frågorna används som underlag för bedömning om vanorna utgör risk för ohälsa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Frågorna kan även användas som underlag för att samtala om patientens vanor</w:t>
      </w:r>
      <w:r w:rsidR="00A31B39">
        <w:t xml:space="preserve"> </w:t>
      </w:r>
      <w:r w:rsidR="00490E81">
        <w:t>i termer om</w:t>
      </w:r>
      <w:r w:rsidR="00A31B39">
        <w:t xml:space="preserve"> möjliga förbättringar</w:t>
      </w:r>
    </w:p>
    <w:p w:rsidR="00F167DB" w:rsidRDefault="00340D0F" w:rsidP="00F167DB">
      <w:pPr>
        <w:pStyle w:val="Liststycke"/>
        <w:numPr>
          <w:ilvl w:val="0"/>
          <w:numId w:val="2"/>
        </w:numPr>
      </w:pPr>
      <w:r>
        <w:t>För</w:t>
      </w:r>
      <w:r w:rsidR="00F167DB">
        <w:t xml:space="preserve"> bedömning </w:t>
      </w:r>
      <w:r w:rsidR="00202BBD">
        <w:t xml:space="preserve">vid ett </w:t>
      </w:r>
      <w:r w:rsidR="00F167DB">
        <w:t>riskbeteende</w:t>
      </w:r>
      <w:r>
        <w:t>,</w:t>
      </w:r>
      <w:r w:rsidR="00F167DB">
        <w:t xml:space="preserve"> utgå från resultatet av bedömningsinstrumente</w:t>
      </w:r>
      <w:r w:rsidR="00AA36E1">
        <w:t>t</w:t>
      </w:r>
      <w:r w:rsidR="00F167DB">
        <w:t>, patientens hälso- och sjukdomstillstånd samt utifrån samtal med patienten.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För vissa sjukdomstillstånd är de allmänna råden inte förenliga med sjukdomen och de sjukdomsanpassade råden</w:t>
      </w:r>
      <w:r w:rsidR="00DC63B8">
        <w:t xml:space="preserve"> för den aktuella diagnosen </w:t>
      </w:r>
      <w:r>
        <w:t xml:space="preserve"> </w:t>
      </w:r>
    </w:p>
    <w:p w:rsidR="00F167DB" w:rsidRDefault="00F167DB" w:rsidP="00DC63B8">
      <w:pPr>
        <w:pStyle w:val="Liststycke"/>
        <w:numPr>
          <w:ilvl w:val="0"/>
          <w:numId w:val="2"/>
        </w:numPr>
      </w:pPr>
      <w:r>
        <w:t>Patienten ska erbjudas råd och stöd utifrån sin situation och si</w:t>
      </w:r>
      <w:r w:rsidR="00340D0F">
        <w:t xml:space="preserve">na </w:t>
      </w:r>
      <w:r>
        <w:t>individuella behov</w:t>
      </w:r>
      <w:r w:rsidR="00DC63B8">
        <w:t xml:space="preserve"> </w:t>
      </w:r>
      <w:r>
        <w:t xml:space="preserve"> </w:t>
      </w:r>
    </w:p>
    <w:p w:rsidR="00F167DB" w:rsidRDefault="00F167DB" w:rsidP="00F167DB">
      <w:pPr>
        <w:pStyle w:val="Liststycke"/>
        <w:numPr>
          <w:ilvl w:val="0"/>
          <w:numId w:val="2"/>
        </w:numPr>
      </w:pPr>
      <w:r>
        <w:t>Råd och information bör vara koppla</w:t>
      </w:r>
      <w:r w:rsidR="00AA36E1">
        <w:t>de</w:t>
      </w:r>
      <w:r>
        <w:t xml:space="preserve"> till patientens hälsotillstånd, symtom och eventuell sjukdom</w:t>
      </w:r>
      <w:r w:rsidR="003C6BBE">
        <w:t xml:space="preserve">. De ska även </w:t>
      </w:r>
      <w:r>
        <w:t>kopplas till de vinster som patienten kan göra genom att förändra levnadsvanan</w:t>
      </w:r>
      <w:r w:rsidR="00B42923">
        <w:t xml:space="preserve">. </w:t>
      </w:r>
    </w:p>
    <w:p w:rsidR="00F167DB" w:rsidRDefault="00F167DB" w:rsidP="00F167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C7C" w:rsidTr="00FD3C7C">
        <w:tc>
          <w:tcPr>
            <w:tcW w:w="9016" w:type="dxa"/>
          </w:tcPr>
          <w:p w:rsidR="00FD3C7C" w:rsidRPr="002457FD" w:rsidRDefault="00FD3C7C" w:rsidP="00166FDC">
            <w:pPr>
              <w:pStyle w:val="Rubrik2"/>
              <w:outlineLvl w:val="1"/>
              <w:rPr>
                <w:lang w:val="sv-SE"/>
              </w:rPr>
            </w:pPr>
            <w:r w:rsidRPr="002457FD">
              <w:rPr>
                <w:lang w:val="sv-SE"/>
              </w:rPr>
              <w:t>Bedömning om patientens alkoholvanor innebär riskbruk</w:t>
            </w:r>
          </w:p>
          <w:p w:rsidR="000F732D" w:rsidRDefault="00FD3C7C" w:rsidP="000F732D">
            <w:r>
              <w:t>Bedömning kan göras genom frågor enligt AUDIT-C</w:t>
            </w:r>
            <w:r w:rsidR="000B237E">
              <w:t xml:space="preserve"> (se frågor med poäng på sida 2)</w:t>
            </w:r>
            <w:r w:rsidR="00822DF7">
              <w:t>.</w:t>
            </w:r>
            <w:r w:rsidR="000F732D">
              <w:t xml:space="preserve"> AUDIT-C är avsett för stöd i bedömningen </w:t>
            </w:r>
            <w:r w:rsidR="005118D0">
              <w:t>av alkoholvanor hos</w:t>
            </w:r>
            <w:r w:rsidR="000F732D">
              <w:t xml:space="preserve"> personer över 18 år.</w:t>
            </w:r>
          </w:p>
          <w:p w:rsidR="00FD3C7C" w:rsidRDefault="00FD3C7C" w:rsidP="00F167DB"/>
          <w:p w:rsidR="000B237E" w:rsidRDefault="000B237E" w:rsidP="00F167DB"/>
          <w:p w:rsidR="00FD3C7C" w:rsidRPr="000B237E" w:rsidRDefault="00FD3C7C" w:rsidP="00FD3C7C">
            <w:pPr>
              <w:rPr>
                <w:b/>
              </w:rPr>
            </w:pPr>
            <w:r w:rsidRPr="000B237E">
              <w:rPr>
                <w:b/>
              </w:rPr>
              <w:t xml:space="preserve">Riskbruk </w:t>
            </w:r>
            <w:r w:rsidR="000B237E">
              <w:rPr>
                <w:b/>
              </w:rPr>
              <w:t xml:space="preserve">enligt AUDIT-C </w:t>
            </w:r>
          </w:p>
          <w:p w:rsidR="00FD3C7C" w:rsidRDefault="00FD3C7C" w:rsidP="00FD3C7C">
            <w:r>
              <w:t xml:space="preserve">Kvinnor       </w:t>
            </w:r>
            <w:r w:rsidR="000B237E">
              <w:t>4</w:t>
            </w:r>
            <w:r w:rsidR="003C6BBE">
              <w:t xml:space="preserve"> </w:t>
            </w:r>
            <w:r w:rsidR="000B237E">
              <w:t>–</w:t>
            </w:r>
            <w:r w:rsidR="003C6BBE">
              <w:t xml:space="preserve"> </w:t>
            </w:r>
            <w:r w:rsidR="000B237E">
              <w:t xml:space="preserve">12 poäng </w:t>
            </w:r>
          </w:p>
          <w:p w:rsidR="00FD3C7C" w:rsidRDefault="00FD3C7C" w:rsidP="00FD3C7C">
            <w:r>
              <w:t xml:space="preserve">Män             </w:t>
            </w:r>
            <w:r w:rsidR="000B237E">
              <w:t>5</w:t>
            </w:r>
            <w:r w:rsidR="003C6BBE">
              <w:t xml:space="preserve"> </w:t>
            </w:r>
            <w:r w:rsidR="000B237E">
              <w:t>–</w:t>
            </w:r>
            <w:r w:rsidR="003C6BBE">
              <w:t xml:space="preserve"> </w:t>
            </w:r>
            <w:r w:rsidR="000B237E">
              <w:t>12 poäng</w:t>
            </w:r>
            <w:r>
              <w:t xml:space="preserve">  </w:t>
            </w:r>
          </w:p>
          <w:p w:rsidR="00166FDC" w:rsidRDefault="00166FDC" w:rsidP="00FD3C7C"/>
          <w:p w:rsidR="002457FD" w:rsidRDefault="00FD3C7C" w:rsidP="00FD3C7C">
            <w:r>
              <w:rPr>
                <w:rFonts w:cs="Arial"/>
                <w:szCs w:val="24"/>
              </w:rPr>
              <w:t>Poängen indikerar</w:t>
            </w:r>
            <w:r w:rsidRPr="00FD3C7C">
              <w:rPr>
                <w:rFonts w:cs="Arial"/>
                <w:szCs w:val="24"/>
              </w:rPr>
              <w:t xml:space="preserve"> bruk av alkohol som ökar risken för skadliga fysiska-, psykiska- eller sociala konsekvenser</w:t>
            </w:r>
            <w:r>
              <w:rPr>
                <w:rFonts w:cs="Arial"/>
                <w:szCs w:val="24"/>
              </w:rPr>
              <w:t xml:space="preserve"> </w:t>
            </w:r>
            <w:r>
              <w:t>men nödvändigtvis inte ett beroende.</w:t>
            </w:r>
            <w:r w:rsidR="00E06EC0">
              <w:t xml:space="preserve"> </w:t>
            </w:r>
            <w:r>
              <w:t xml:space="preserve">För att ta reda på om det föreligger en beroendeproblematik så kan en fullständig AUDIT användas. </w:t>
            </w:r>
          </w:p>
          <w:p w:rsidR="002457FD" w:rsidRDefault="002457FD" w:rsidP="00FD3C7C"/>
          <w:p w:rsidR="0022607F" w:rsidRDefault="000B237E" w:rsidP="00FD3C7C">
            <w:r>
              <w:t>Den sammanlagda poängen kan tolkas som att det finns problematiska alkoholvanor medan patienten varken upplever sig ha, eller faktiskt inte har, några problem med alkohol.</w:t>
            </w:r>
            <w:r w:rsidR="00E06EC0">
              <w:t xml:space="preserve"> Det finns dock inget bruk som är positivt för hälsan. </w:t>
            </w:r>
          </w:p>
          <w:p w:rsidR="00166FDC" w:rsidRDefault="00166FDC" w:rsidP="00FD3C7C"/>
          <w:p w:rsidR="00166FDC" w:rsidRDefault="00166FDC" w:rsidP="000B237E">
            <w:r w:rsidRPr="00166FDC">
              <w:rPr>
                <w:rFonts w:cs="Arial"/>
                <w:color w:val="222222"/>
              </w:rPr>
              <w:t xml:space="preserve">Riskbruk av alkohol kan även föreligga </w:t>
            </w:r>
            <w:r w:rsidR="000B237E">
              <w:rPr>
                <w:rFonts w:cs="Arial"/>
                <w:color w:val="222222"/>
              </w:rPr>
              <w:t>om patienten får en lägre poäng än vad som motsvarar riskbruk,</w:t>
            </w:r>
            <w:r w:rsidRPr="00166FDC">
              <w:rPr>
                <w:rFonts w:cs="Arial"/>
                <w:color w:val="222222"/>
              </w:rPr>
              <w:t xml:space="preserve"> exempelvis under graviditet, i många situationer i arbetslivet, i trafiken samt under uppväxtåren. Detsamma gäller när man har vissa sjukdomar, äter vissa mediciner samt för dem med ökad känslighet för alkohol.</w:t>
            </w:r>
            <w:r w:rsidR="000B237E">
              <w:rPr>
                <w:rFonts w:cs="Arial"/>
                <w:color w:val="222222"/>
              </w:rPr>
              <w:t xml:space="preserve"> </w:t>
            </w:r>
            <w:r w:rsidR="00FD3C7C">
              <w:t xml:space="preserve">Väg in patientens hälso- och sjukdomstillstånd och patientsamtalet i den sammantagna bedömningen. </w:t>
            </w:r>
          </w:p>
          <w:p w:rsidR="003C6BBE" w:rsidRPr="00166FDC" w:rsidRDefault="003C6BBE" w:rsidP="000B237E"/>
        </w:tc>
      </w:tr>
    </w:tbl>
    <w:p w:rsidR="00B231ED" w:rsidRPr="00B231ED" w:rsidRDefault="00B231ED" w:rsidP="00B231ED"/>
    <w:p w:rsidR="000B237E" w:rsidRDefault="000B237E" w:rsidP="00166FDC">
      <w:pPr>
        <w:pStyle w:val="Rubrik2"/>
        <w:rPr>
          <w:lang w:val="sv-SE"/>
        </w:rPr>
      </w:pPr>
    </w:p>
    <w:p w:rsidR="00B231ED" w:rsidRPr="000B237E" w:rsidRDefault="000B237E" w:rsidP="00166FDC">
      <w:pPr>
        <w:pStyle w:val="Rubrik2"/>
        <w:rPr>
          <w:lang w:val="sv-SE"/>
        </w:rPr>
      </w:pPr>
      <w:r w:rsidRPr="000B237E">
        <w:rPr>
          <w:lang w:val="sv-SE"/>
        </w:rPr>
        <w:t xml:space="preserve">Frågor om </w:t>
      </w:r>
      <w:r w:rsidR="003C6BBE">
        <w:rPr>
          <w:lang w:val="sv-SE"/>
        </w:rPr>
        <w:t>a</w:t>
      </w:r>
      <w:r w:rsidR="00B231ED" w:rsidRPr="000B237E">
        <w:rPr>
          <w:lang w:val="sv-SE"/>
        </w:rPr>
        <w:t xml:space="preserve">lkoholvanor </w:t>
      </w:r>
      <w:r w:rsidR="0022607F" w:rsidRPr="000B237E">
        <w:rPr>
          <w:lang w:val="sv-SE"/>
        </w:rPr>
        <w:t>– AUDIT</w:t>
      </w:r>
      <w:r w:rsidR="003C6BBE">
        <w:rPr>
          <w:lang w:val="sv-SE"/>
        </w:rPr>
        <w:t>-</w:t>
      </w:r>
      <w:r w:rsidR="0022607F" w:rsidRPr="000B237E">
        <w:rPr>
          <w:lang w:val="sv-SE"/>
        </w:rPr>
        <w:t>C</w:t>
      </w:r>
    </w:p>
    <w:tbl>
      <w:tblPr>
        <w:tblpPr w:leftFromText="141" w:rightFromText="141" w:vertAnchor="text" w:horzAnchor="margin" w:tblpY="17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134"/>
        <w:gridCol w:w="1559"/>
        <w:gridCol w:w="1134"/>
        <w:gridCol w:w="2201"/>
      </w:tblGrid>
      <w:tr w:rsidR="009264D6" w:rsidTr="00166FDC">
        <w:trPr>
          <w:trHeight w:val="1130"/>
        </w:trPr>
        <w:tc>
          <w:tcPr>
            <w:tcW w:w="2972" w:type="dxa"/>
            <w:gridSpan w:val="2"/>
          </w:tcPr>
          <w:p w:rsidR="00B231ED" w:rsidRPr="003C6BBE" w:rsidRDefault="00B231ED" w:rsidP="009D59B4">
            <w:pPr>
              <w:pStyle w:val="Default"/>
              <w:rPr>
                <w:b/>
                <w:sz w:val="22"/>
                <w:szCs w:val="22"/>
              </w:rPr>
            </w:pPr>
            <w:r w:rsidRPr="003C6BBE">
              <w:rPr>
                <w:b/>
                <w:sz w:val="22"/>
                <w:szCs w:val="22"/>
              </w:rPr>
              <w:t>Hur ofta dricker du alkohol?</w:t>
            </w:r>
          </w:p>
        </w:tc>
        <w:tc>
          <w:tcPr>
            <w:tcW w:w="2693" w:type="dxa"/>
            <w:gridSpan w:val="2"/>
          </w:tcPr>
          <w:p w:rsidR="00B231ED" w:rsidRPr="003C6BBE" w:rsidRDefault="00B231ED" w:rsidP="009D59B4">
            <w:pPr>
              <w:pStyle w:val="Default"/>
              <w:rPr>
                <w:b/>
                <w:sz w:val="22"/>
                <w:szCs w:val="22"/>
              </w:rPr>
            </w:pPr>
            <w:r w:rsidRPr="003C6BBE">
              <w:rPr>
                <w:b/>
                <w:sz w:val="22"/>
                <w:szCs w:val="22"/>
              </w:rPr>
              <w:t>Hur många standardglas dricker du en typisk dag då du dricker alkohol?</w:t>
            </w:r>
          </w:p>
        </w:tc>
        <w:tc>
          <w:tcPr>
            <w:tcW w:w="3335" w:type="dxa"/>
            <w:gridSpan w:val="2"/>
          </w:tcPr>
          <w:p w:rsidR="00B05128" w:rsidRPr="003C6BBE" w:rsidRDefault="00B231ED" w:rsidP="009D59B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6BBE">
              <w:rPr>
                <w:b/>
                <w:bCs/>
                <w:sz w:val="22"/>
                <w:szCs w:val="22"/>
              </w:rPr>
              <w:t>Hur ofta dricker d</w:t>
            </w:r>
            <w:r w:rsidR="00504554" w:rsidRPr="003C6BBE">
              <w:rPr>
                <w:b/>
                <w:bCs/>
                <w:sz w:val="22"/>
                <w:szCs w:val="22"/>
              </w:rPr>
              <w:t>u</w:t>
            </w:r>
            <w:r w:rsidRPr="003C6BBE">
              <w:rPr>
                <w:b/>
                <w:bCs/>
                <w:sz w:val="22"/>
                <w:szCs w:val="22"/>
              </w:rPr>
              <w:t xml:space="preserve"> </w:t>
            </w:r>
            <w:r w:rsidR="00504554" w:rsidRPr="003C6BBE">
              <w:rPr>
                <w:b/>
                <w:bCs/>
                <w:sz w:val="22"/>
                <w:szCs w:val="22"/>
              </w:rPr>
              <w:t xml:space="preserve">som </w:t>
            </w:r>
            <w:r w:rsidRPr="003C6BBE">
              <w:rPr>
                <w:b/>
                <w:bCs/>
                <w:sz w:val="22"/>
                <w:szCs w:val="22"/>
              </w:rPr>
              <w:t>kvinna</w:t>
            </w:r>
            <w:r w:rsidR="003C6BBE">
              <w:rPr>
                <w:b/>
                <w:bCs/>
                <w:sz w:val="22"/>
                <w:szCs w:val="22"/>
              </w:rPr>
              <w:t>,</w:t>
            </w:r>
            <w:r w:rsidR="0044263F" w:rsidRPr="003C6BBE">
              <w:rPr>
                <w:b/>
                <w:bCs/>
                <w:sz w:val="22"/>
                <w:szCs w:val="22"/>
              </w:rPr>
              <w:t xml:space="preserve"> 4 </w:t>
            </w:r>
            <w:r w:rsidR="00637E9B" w:rsidRPr="003C6BBE">
              <w:rPr>
                <w:b/>
                <w:bCs/>
                <w:sz w:val="22"/>
                <w:szCs w:val="22"/>
              </w:rPr>
              <w:t xml:space="preserve">standardglas </w:t>
            </w:r>
            <w:r w:rsidR="0044263F" w:rsidRPr="003C6BBE">
              <w:rPr>
                <w:b/>
                <w:bCs/>
                <w:sz w:val="22"/>
                <w:szCs w:val="22"/>
              </w:rPr>
              <w:t xml:space="preserve">eller </w:t>
            </w:r>
            <w:r w:rsidR="00504554" w:rsidRPr="003C6BBE">
              <w:rPr>
                <w:b/>
                <w:bCs/>
                <w:sz w:val="22"/>
                <w:szCs w:val="22"/>
              </w:rPr>
              <w:t xml:space="preserve">du som </w:t>
            </w:r>
            <w:r w:rsidR="0044263F" w:rsidRPr="003C6BBE">
              <w:rPr>
                <w:b/>
                <w:bCs/>
                <w:sz w:val="22"/>
                <w:szCs w:val="22"/>
              </w:rPr>
              <w:t>man</w:t>
            </w:r>
            <w:r w:rsidR="00504554" w:rsidRPr="003C6BBE">
              <w:rPr>
                <w:b/>
                <w:bCs/>
                <w:sz w:val="22"/>
                <w:szCs w:val="22"/>
              </w:rPr>
              <w:t xml:space="preserve">, </w:t>
            </w:r>
            <w:r w:rsidR="0044263F" w:rsidRPr="003C6BBE">
              <w:rPr>
                <w:b/>
                <w:bCs/>
                <w:sz w:val="22"/>
                <w:szCs w:val="22"/>
              </w:rPr>
              <w:t xml:space="preserve">5 standardglas eller mer vid samma tillfälle? </w:t>
            </w:r>
          </w:p>
        </w:tc>
      </w:tr>
      <w:tr w:rsidR="009264D6" w:rsidTr="00166FDC">
        <w:trPr>
          <w:trHeight w:val="341"/>
        </w:trPr>
        <w:tc>
          <w:tcPr>
            <w:tcW w:w="1129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419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DC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</w:t>
            </w:r>
            <w:r w:rsidR="00166FDC">
              <w:t xml:space="preserve"> </w:t>
            </w:r>
            <w:r w:rsidR="00166FDC" w:rsidRPr="00166FDC">
              <w:rPr>
                <w:highlight w:val="yellow"/>
              </w:rPr>
              <w:t>(0 p)</w:t>
            </w:r>
          </w:p>
        </w:tc>
        <w:tc>
          <w:tcPr>
            <w:tcW w:w="1843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Aldrig</w:t>
            </w:r>
          </w:p>
          <w:p w:rsidR="0022607F" w:rsidRDefault="0022607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6538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>
              <w:t xml:space="preserve"> </w:t>
            </w:r>
            <w:r w:rsidR="00166FDC" w:rsidRPr="00166FDC">
              <w:rPr>
                <w:highlight w:val="yellow"/>
              </w:rPr>
              <w:t>(0p)</w:t>
            </w:r>
          </w:p>
        </w:tc>
        <w:tc>
          <w:tcPr>
            <w:tcW w:w="1559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standardglas</w:t>
            </w: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763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(0p)</w:t>
            </w:r>
          </w:p>
        </w:tc>
        <w:tc>
          <w:tcPr>
            <w:tcW w:w="2201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Aldrig </w:t>
            </w:r>
          </w:p>
        </w:tc>
      </w:tr>
      <w:tr w:rsidR="009264D6" w:rsidTr="00166FDC">
        <w:trPr>
          <w:trHeight w:val="501"/>
        </w:trPr>
        <w:tc>
          <w:tcPr>
            <w:tcW w:w="1129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9645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</w:t>
            </w:r>
            <w:r w:rsidR="00166FDC" w:rsidRPr="00166FDC">
              <w:rPr>
                <w:highlight w:val="yellow"/>
              </w:rPr>
              <w:t>(1p)</w:t>
            </w:r>
          </w:p>
        </w:tc>
        <w:tc>
          <w:tcPr>
            <w:tcW w:w="1843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gång i månaden eller mer sällan</w:t>
            </w:r>
          </w:p>
          <w:p w:rsidR="0022607F" w:rsidRDefault="0022607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8055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(1p)</w:t>
            </w:r>
          </w:p>
        </w:tc>
        <w:tc>
          <w:tcPr>
            <w:tcW w:w="1559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3–4 standardglas</w:t>
            </w: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9516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(1p)</w:t>
            </w:r>
          </w:p>
        </w:tc>
        <w:tc>
          <w:tcPr>
            <w:tcW w:w="2201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 sällan än 1 gång i månaden</w:t>
            </w:r>
          </w:p>
        </w:tc>
      </w:tr>
      <w:tr w:rsidR="009264D6" w:rsidTr="00166FDC">
        <w:trPr>
          <w:trHeight w:val="297"/>
        </w:trPr>
        <w:tc>
          <w:tcPr>
            <w:tcW w:w="1129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8879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(2p)</w:t>
            </w:r>
          </w:p>
        </w:tc>
        <w:tc>
          <w:tcPr>
            <w:tcW w:w="1843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2–4 gånger i månaden</w:t>
            </w:r>
          </w:p>
          <w:p w:rsidR="0022607F" w:rsidRDefault="0022607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530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(2p)</w:t>
            </w:r>
          </w:p>
        </w:tc>
        <w:tc>
          <w:tcPr>
            <w:tcW w:w="1559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5–6 standardglas</w:t>
            </w: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7635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(2p)</w:t>
            </w:r>
          </w:p>
        </w:tc>
        <w:tc>
          <w:tcPr>
            <w:tcW w:w="2201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Varje månad </w:t>
            </w:r>
          </w:p>
        </w:tc>
      </w:tr>
      <w:tr w:rsidR="009264D6" w:rsidTr="00166FDC">
        <w:trPr>
          <w:trHeight w:val="360"/>
        </w:trPr>
        <w:tc>
          <w:tcPr>
            <w:tcW w:w="1129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301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(3p)</w:t>
            </w:r>
          </w:p>
        </w:tc>
        <w:tc>
          <w:tcPr>
            <w:tcW w:w="1843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2–3 gånger i veckan</w:t>
            </w:r>
          </w:p>
          <w:p w:rsidR="0022607F" w:rsidRDefault="0022607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4914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(3p)</w:t>
            </w:r>
          </w:p>
        </w:tc>
        <w:tc>
          <w:tcPr>
            <w:tcW w:w="1559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7–9 standardglas</w:t>
            </w: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3937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(3p)</w:t>
            </w:r>
          </w:p>
        </w:tc>
        <w:tc>
          <w:tcPr>
            <w:tcW w:w="2201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Varje vecka</w:t>
            </w:r>
          </w:p>
        </w:tc>
      </w:tr>
      <w:tr w:rsidR="009264D6" w:rsidTr="00166FDC">
        <w:trPr>
          <w:trHeight w:val="501"/>
        </w:trPr>
        <w:tc>
          <w:tcPr>
            <w:tcW w:w="1129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505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</w:t>
            </w:r>
            <w:r w:rsidR="00166FDC" w:rsidRPr="00166FDC">
              <w:rPr>
                <w:highlight w:val="yellow"/>
              </w:rPr>
              <w:t>(4p)</w:t>
            </w:r>
            <w:r w:rsidR="00504554">
              <w:t xml:space="preserve"> </w:t>
            </w:r>
          </w:p>
        </w:tc>
        <w:tc>
          <w:tcPr>
            <w:tcW w:w="1843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gånger i veckan eller mer</w:t>
            </w:r>
          </w:p>
          <w:p w:rsidR="0022607F" w:rsidRDefault="0022607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3773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(4p)</w:t>
            </w:r>
          </w:p>
        </w:tc>
        <w:tc>
          <w:tcPr>
            <w:tcW w:w="1559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eller fler standardglas</w:t>
            </w:r>
          </w:p>
        </w:tc>
        <w:tc>
          <w:tcPr>
            <w:tcW w:w="1134" w:type="dxa"/>
          </w:tcPr>
          <w:p w:rsidR="00504554" w:rsidRDefault="00202557" w:rsidP="009D59B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02161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554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504554">
              <w:t xml:space="preserve">  </w:t>
            </w:r>
            <w:r w:rsidR="00166FDC" w:rsidRPr="00166FDC">
              <w:rPr>
                <w:highlight w:val="yellow"/>
              </w:rPr>
              <w:t>(4p)</w:t>
            </w:r>
          </w:p>
        </w:tc>
        <w:tc>
          <w:tcPr>
            <w:tcW w:w="2201" w:type="dxa"/>
          </w:tcPr>
          <w:p w:rsidR="00504554" w:rsidRDefault="00504554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Dagligen eller nästan varje dag</w:t>
            </w:r>
          </w:p>
        </w:tc>
      </w:tr>
    </w:tbl>
    <w:p w:rsidR="009869E7" w:rsidRDefault="000B237E" w:rsidP="00DD1D0C">
      <w:pPr>
        <w:rPr>
          <w:b/>
          <w:sz w:val="28"/>
          <w:szCs w:val="28"/>
        </w:rPr>
      </w:pPr>
      <w:r w:rsidRPr="00166FD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89A7A7">
            <wp:simplePos x="0" y="0"/>
            <wp:positionH relativeFrom="margin">
              <wp:align>right</wp:align>
            </wp:positionH>
            <wp:positionV relativeFrom="paragraph">
              <wp:posOffset>4331252</wp:posOffset>
            </wp:positionV>
            <wp:extent cx="5548876" cy="3079494"/>
            <wp:effectExtent l="0" t="0" r="0" b="6985"/>
            <wp:wrapTight wrapText="bothSides">
              <wp:wrapPolygon edited="0">
                <wp:start x="0" y="0"/>
                <wp:lineTo x="0" y="21515"/>
                <wp:lineTo x="21506" y="21515"/>
                <wp:lineTo x="2150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876" cy="3079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FDC">
        <w:rPr>
          <w:b/>
          <w:sz w:val="28"/>
          <w:szCs w:val="28"/>
        </w:rPr>
        <w:t xml:space="preserve">Räkna samman poängen </w:t>
      </w:r>
      <w:r w:rsidRPr="000B237E">
        <w:rPr>
          <w:b/>
          <w:sz w:val="28"/>
          <w:szCs w:val="28"/>
          <w:highlight w:val="yellow"/>
        </w:rPr>
        <w:t>(gulmarkering)</w:t>
      </w:r>
      <w:r>
        <w:rPr>
          <w:b/>
          <w:sz w:val="28"/>
          <w:szCs w:val="28"/>
        </w:rPr>
        <w:t xml:space="preserve"> </w:t>
      </w:r>
      <w:r w:rsidR="00166FDC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ör de tre frågorna. </w:t>
      </w:r>
    </w:p>
    <w:p w:rsidR="003C6BBE" w:rsidRDefault="009869E7" w:rsidP="00DD1D0C">
      <w:pPr>
        <w:rPr>
          <w:b/>
          <w:sz w:val="28"/>
          <w:szCs w:val="28"/>
        </w:rPr>
      </w:pPr>
      <w:bookmarkStart w:id="0" w:name="_Hlk66357499"/>
      <w:r>
        <w:rPr>
          <w:szCs w:val="28"/>
        </w:rPr>
        <w:t xml:space="preserve">Frågorna med automatisk uträkning finns även i journalen under sökordet Levnadsvanor. </w:t>
      </w:r>
      <w:r w:rsidRPr="00533778">
        <w:rPr>
          <w:szCs w:val="28"/>
        </w:rPr>
        <w:t xml:space="preserve"> </w:t>
      </w:r>
    </w:p>
    <w:bookmarkEnd w:id="0"/>
    <w:p w:rsidR="003C6BBE" w:rsidRPr="003C6BBE" w:rsidRDefault="003C6BBE" w:rsidP="003C6BBE">
      <w:pPr>
        <w:rPr>
          <w:sz w:val="28"/>
          <w:szCs w:val="28"/>
        </w:rPr>
      </w:pPr>
    </w:p>
    <w:p w:rsidR="003C6BBE" w:rsidRPr="003C6BBE" w:rsidRDefault="003C6BBE" w:rsidP="003C6BBE">
      <w:pPr>
        <w:rPr>
          <w:sz w:val="28"/>
          <w:szCs w:val="28"/>
        </w:rPr>
      </w:pPr>
    </w:p>
    <w:p w:rsidR="003C6BBE" w:rsidRPr="003C6BBE" w:rsidRDefault="003C6BBE" w:rsidP="003C6BBE">
      <w:pPr>
        <w:rPr>
          <w:sz w:val="28"/>
          <w:szCs w:val="28"/>
        </w:rPr>
      </w:pPr>
    </w:p>
    <w:p w:rsidR="003C6BBE" w:rsidRPr="003C6BBE" w:rsidRDefault="003C6BBE" w:rsidP="003C6BBE">
      <w:pPr>
        <w:rPr>
          <w:sz w:val="28"/>
          <w:szCs w:val="28"/>
        </w:rPr>
      </w:pPr>
    </w:p>
    <w:p w:rsidR="003C6BBE" w:rsidRPr="003C6BBE" w:rsidRDefault="003C6BBE" w:rsidP="003C6BBE">
      <w:pPr>
        <w:rPr>
          <w:sz w:val="28"/>
          <w:szCs w:val="28"/>
        </w:rPr>
      </w:pPr>
    </w:p>
    <w:p w:rsidR="002B7654" w:rsidRPr="003C6BBE" w:rsidRDefault="003C6BBE" w:rsidP="00202557">
      <w:pPr>
        <w:tabs>
          <w:tab w:val="left" w:pos="4971"/>
          <w:tab w:val="left" w:pos="82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2557">
        <w:rPr>
          <w:sz w:val="28"/>
          <w:szCs w:val="28"/>
        </w:rPr>
        <w:tab/>
      </w:r>
    </w:p>
    <w:sectPr w:rsidR="002B7654" w:rsidRPr="003C6BBE" w:rsidSect="00FF24EB">
      <w:headerReference w:type="default" r:id="rId15"/>
      <w:footerReference w:type="default" r:id="rId16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CD" w:rsidRDefault="00163ACD" w:rsidP="00392BB2">
      <w:pPr>
        <w:spacing w:after="0"/>
      </w:pPr>
      <w:r>
        <w:separator/>
      </w:r>
    </w:p>
  </w:endnote>
  <w:endnote w:type="continuationSeparator" w:id="0">
    <w:p w:rsidR="00163ACD" w:rsidRDefault="00163ACD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57" w:rsidRDefault="002025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0D" w:rsidRDefault="0078340D" w:rsidP="0078340D">
    <w:r>
      <w:t xml:space="preserve">Mer information för stöd i patientmötet finns på </w:t>
    </w:r>
    <w:hyperlink r:id="rId1" w:history="1">
      <w:r>
        <w:rPr>
          <w:rStyle w:val="Hyperlnk"/>
        </w:rPr>
        <w:t>vårdgivarwebben/Arbetsområden och processer/Folkhälsa/Levnadsvanor</w:t>
      </w:r>
    </w:hyperlink>
  </w:p>
  <w:p w:rsidR="00E87DBF" w:rsidRDefault="00E87DBF" w:rsidP="00E87DBF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57" w:rsidRDefault="0020255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/>
  <w:p w:rsidR="007F0576" w:rsidRDefault="00202557" w:rsidP="007F0576">
    <w:pPr>
      <w:pStyle w:val="Sidfot"/>
      <w:jc w:val="right"/>
      <w:rPr>
        <w:caps/>
        <w:color w:val="83B81A" w:themeColor="accent1"/>
        <w:sz w:val="20"/>
        <w:szCs w:val="20"/>
      </w:rPr>
    </w:pPr>
    <w:r>
      <w:rPr>
        <w:color w:val="83B81A" w:themeColor="accent1"/>
        <w:sz w:val="20"/>
        <w:szCs w:val="20"/>
      </w:rPr>
      <w:fldChar w:fldCharType="begin"/>
    </w:r>
    <w:r>
      <w:rPr>
        <w:color w:val="83B81A" w:themeColor="accent1"/>
        <w:sz w:val="20"/>
        <w:szCs w:val="20"/>
      </w:rPr>
      <w:instrText xml:space="preserve"> HYPERLINK "https://www.vgregion.se/halsa-och-vard/vardgivarwebben/vardriktlinjer/levnadsvanor-och-sjukdomsforebyggande-metoder/" </w:instrText>
    </w:r>
    <w:r>
      <w:rPr>
        <w:color w:val="83B81A" w:themeColor="accent1"/>
        <w:sz w:val="20"/>
        <w:szCs w:val="20"/>
      </w:rPr>
    </w:r>
    <w:r>
      <w:rPr>
        <w:color w:val="83B81A" w:themeColor="accent1"/>
        <w:sz w:val="20"/>
        <w:szCs w:val="20"/>
      </w:rPr>
      <w:fldChar w:fldCharType="separate"/>
    </w:r>
    <w:r w:rsidR="007F0576" w:rsidRPr="00202557">
      <w:rPr>
        <w:rStyle w:val="Hyperlnk"/>
        <w:sz w:val="20"/>
        <w:szCs w:val="20"/>
      </w:rPr>
      <w:t>Framtagna med inspiration från Västra Götalandsregionen</w:t>
    </w:r>
    <w:r>
      <w:rPr>
        <w:color w:val="83B81A" w:themeColor="accent1"/>
        <w:sz w:val="20"/>
        <w:szCs w:val="20"/>
      </w:rPr>
      <w:fldChar w:fldCharType="end"/>
    </w:r>
  </w:p>
  <w:bookmarkEnd w:id="1"/>
  <w:p w:rsidR="00231784" w:rsidRPr="00962E95" w:rsidRDefault="00231784" w:rsidP="00962E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CD" w:rsidRDefault="00163ACD" w:rsidP="00392BB2">
      <w:pPr>
        <w:spacing w:after="0"/>
      </w:pPr>
      <w:r>
        <w:separator/>
      </w:r>
    </w:p>
  </w:footnote>
  <w:footnote w:type="continuationSeparator" w:id="0">
    <w:p w:rsidR="00163ACD" w:rsidRDefault="00163ACD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57" w:rsidRDefault="002025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EB12E7" w:rsidRDefault="00EB12E7" w:rsidP="00EB12E7">
          <w:pPr>
            <w:pStyle w:val="Sidhuvud"/>
          </w:pPr>
        </w:p>
        <w:p w:rsidR="00EB12E7" w:rsidRDefault="00EB12E7" w:rsidP="00EB12E7">
          <w:pPr>
            <w:pStyle w:val="Sidhuvud"/>
          </w:pPr>
        </w:p>
        <w:p w:rsidR="00392BB2" w:rsidRDefault="00392BB2" w:rsidP="00DC63B8">
          <w:pPr>
            <w:pStyle w:val="Sidhuvud"/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5F9115DF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50F9E" w:rsidRDefault="00850F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57" w:rsidRDefault="0020255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244"/>
    <w:multiLevelType w:val="multilevel"/>
    <w:tmpl w:val="C8A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53657"/>
    <w:multiLevelType w:val="hybridMultilevel"/>
    <w:tmpl w:val="B19A0C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42438"/>
    <w:multiLevelType w:val="multilevel"/>
    <w:tmpl w:val="5E5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700A0"/>
    <w:rsid w:val="00070230"/>
    <w:rsid w:val="00097E8D"/>
    <w:rsid w:val="000A2C0E"/>
    <w:rsid w:val="000B237E"/>
    <w:rsid w:val="000F6D75"/>
    <w:rsid w:val="000F732D"/>
    <w:rsid w:val="00111068"/>
    <w:rsid w:val="00163ACD"/>
    <w:rsid w:val="00166FDC"/>
    <w:rsid w:val="00170229"/>
    <w:rsid w:val="001979BB"/>
    <w:rsid w:val="001A7B25"/>
    <w:rsid w:val="001C574C"/>
    <w:rsid w:val="001D1597"/>
    <w:rsid w:val="00202557"/>
    <w:rsid w:val="00202BBD"/>
    <w:rsid w:val="00203EF2"/>
    <w:rsid w:val="0021147E"/>
    <w:rsid w:val="0022607F"/>
    <w:rsid w:val="00231784"/>
    <w:rsid w:val="002457FD"/>
    <w:rsid w:val="00270E40"/>
    <w:rsid w:val="002B7654"/>
    <w:rsid w:val="00340D0F"/>
    <w:rsid w:val="00350E7B"/>
    <w:rsid w:val="00392BB2"/>
    <w:rsid w:val="003C3B2E"/>
    <w:rsid w:val="003C6BBE"/>
    <w:rsid w:val="003D579B"/>
    <w:rsid w:val="00431917"/>
    <w:rsid w:val="0044263F"/>
    <w:rsid w:val="00490E81"/>
    <w:rsid w:val="00504554"/>
    <w:rsid w:val="005118D0"/>
    <w:rsid w:val="0058056B"/>
    <w:rsid w:val="005F00E9"/>
    <w:rsid w:val="00637E9B"/>
    <w:rsid w:val="006725D0"/>
    <w:rsid w:val="00705264"/>
    <w:rsid w:val="00764EA1"/>
    <w:rsid w:val="00774D0B"/>
    <w:rsid w:val="0078340D"/>
    <w:rsid w:val="007B72F0"/>
    <w:rsid w:val="007F0576"/>
    <w:rsid w:val="00822DF7"/>
    <w:rsid w:val="0082480B"/>
    <w:rsid w:val="00850F9E"/>
    <w:rsid w:val="00874934"/>
    <w:rsid w:val="008B5462"/>
    <w:rsid w:val="008E2375"/>
    <w:rsid w:val="008E27F5"/>
    <w:rsid w:val="008F2B15"/>
    <w:rsid w:val="009264D6"/>
    <w:rsid w:val="00927989"/>
    <w:rsid w:val="00962E95"/>
    <w:rsid w:val="009869E7"/>
    <w:rsid w:val="009B2A7A"/>
    <w:rsid w:val="009C09E0"/>
    <w:rsid w:val="009E3684"/>
    <w:rsid w:val="009F546A"/>
    <w:rsid w:val="00A14ADC"/>
    <w:rsid w:val="00A31B39"/>
    <w:rsid w:val="00A41F77"/>
    <w:rsid w:val="00A95C15"/>
    <w:rsid w:val="00AA36E1"/>
    <w:rsid w:val="00AE0930"/>
    <w:rsid w:val="00B05128"/>
    <w:rsid w:val="00B231ED"/>
    <w:rsid w:val="00B42923"/>
    <w:rsid w:val="00C67320"/>
    <w:rsid w:val="00CB6708"/>
    <w:rsid w:val="00CE2F6C"/>
    <w:rsid w:val="00CE36A7"/>
    <w:rsid w:val="00D008BC"/>
    <w:rsid w:val="00D132A3"/>
    <w:rsid w:val="00D3588F"/>
    <w:rsid w:val="00D63996"/>
    <w:rsid w:val="00D713E1"/>
    <w:rsid w:val="00D855C8"/>
    <w:rsid w:val="00D87D2B"/>
    <w:rsid w:val="00DC4860"/>
    <w:rsid w:val="00DC63B8"/>
    <w:rsid w:val="00DD1D0C"/>
    <w:rsid w:val="00DE4BAF"/>
    <w:rsid w:val="00E06EC0"/>
    <w:rsid w:val="00E217EC"/>
    <w:rsid w:val="00E705EA"/>
    <w:rsid w:val="00E87DBF"/>
    <w:rsid w:val="00E94253"/>
    <w:rsid w:val="00EB12E7"/>
    <w:rsid w:val="00ED6716"/>
    <w:rsid w:val="00F167DB"/>
    <w:rsid w:val="00F87052"/>
    <w:rsid w:val="00FB5B0D"/>
    <w:rsid w:val="00FB70C2"/>
    <w:rsid w:val="00FD3C7C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588D5A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2607F"/>
    <w:pPr>
      <w:spacing w:after="375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F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kronoberg.se/vardgivare/arbetsomraden-processer/folkhalsa/levnadsvano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5182-B86D-4074-AEB3-3D16004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70</TotalTime>
  <Pages>2</Pages>
  <Words>461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Arvidsson Angelica FSU stödstrukturer</dc:creator>
  <cp:lastModifiedBy>Arvidsson Angelica FSU stödstrukturer</cp:lastModifiedBy>
  <cp:revision>17</cp:revision>
  <cp:lastPrinted>2016-08-09T09:02:00Z</cp:lastPrinted>
  <dcterms:created xsi:type="dcterms:W3CDTF">2021-01-25T09:42:00Z</dcterms:created>
  <dcterms:modified xsi:type="dcterms:W3CDTF">2021-03-11T11:29:00Z</dcterms:modified>
</cp:coreProperties>
</file>