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F3F48" w14:textId="77777777" w:rsidR="00466AB6" w:rsidRPr="008465F7" w:rsidRDefault="00466AB6">
      <w:pPr>
        <w:rPr>
          <w:rFonts w:ascii="Times New Roman" w:hAnsi="Times New Roman" w:cs="Times New Roman"/>
          <w:sz w:val="26"/>
          <w:szCs w:val="26"/>
        </w:rPr>
      </w:pPr>
      <w:r w:rsidRPr="008465F7">
        <w:rPr>
          <w:rFonts w:ascii="Times New Roman" w:hAnsi="Times New Roman" w:cs="Times New Roman"/>
          <w:sz w:val="26"/>
          <w:szCs w:val="26"/>
        </w:rPr>
        <w:t>BESLUTSKOMPETENS</w:t>
      </w:r>
    </w:p>
    <w:p w14:paraId="37DB82BA" w14:textId="77777777" w:rsidR="00466AB6" w:rsidRPr="008465F7" w:rsidRDefault="00466AB6">
      <w:pPr>
        <w:rPr>
          <w:rFonts w:ascii="Times New Roman" w:hAnsi="Times New Roman" w:cs="Times New Roman"/>
          <w:sz w:val="26"/>
          <w:szCs w:val="26"/>
        </w:rPr>
      </w:pPr>
      <w:r w:rsidRPr="008465F7">
        <w:rPr>
          <w:rFonts w:ascii="Times New Roman" w:hAnsi="Times New Roman" w:cs="Times New Roman"/>
          <w:sz w:val="26"/>
          <w:szCs w:val="26"/>
        </w:rPr>
        <w:t xml:space="preserve">KONTEXT </w:t>
      </w:r>
    </w:p>
    <w:p w14:paraId="7B32DDAD" w14:textId="77777777" w:rsidR="00466AB6" w:rsidRPr="008465F7" w:rsidRDefault="00466AB6">
      <w:pPr>
        <w:rPr>
          <w:rFonts w:ascii="Times New Roman" w:hAnsi="Times New Roman" w:cs="Times New Roman"/>
          <w:sz w:val="26"/>
          <w:szCs w:val="26"/>
        </w:rPr>
      </w:pPr>
      <w:r w:rsidRPr="008465F7">
        <w:rPr>
          <w:rFonts w:ascii="Times New Roman" w:hAnsi="Times New Roman" w:cs="Times New Roman"/>
          <w:sz w:val="26"/>
          <w:szCs w:val="26"/>
        </w:rPr>
        <w:t xml:space="preserve">Frågan om beslutskompetens hänger ihop med en större fråga inom medicinsk etik, nämligen autonomi. Respekten för patientens autonomi innebär – i normalfallet – att patienten ska betraktas som en självstyrande individ, och att sjukvården inte ska fatta beslut åt patienten som hon lika gärna (eller hellre) kunde fatta själv. </w:t>
      </w:r>
    </w:p>
    <w:p w14:paraId="696F3A52" w14:textId="77777777" w:rsidR="00466AB6" w:rsidRPr="008465F7" w:rsidRDefault="00466AB6">
      <w:pPr>
        <w:rPr>
          <w:rFonts w:ascii="Times New Roman" w:hAnsi="Times New Roman" w:cs="Times New Roman"/>
          <w:sz w:val="26"/>
          <w:szCs w:val="26"/>
        </w:rPr>
      </w:pPr>
      <w:r w:rsidRPr="008465F7">
        <w:rPr>
          <w:rFonts w:ascii="Times New Roman" w:hAnsi="Times New Roman" w:cs="Times New Roman"/>
          <w:sz w:val="26"/>
          <w:szCs w:val="26"/>
        </w:rPr>
        <w:t xml:space="preserve">Ett vanligt sätt att beskriva frivilliga handlingar är att dessa ”består av” tre delar: man har en vilja, som får en att fatta ett visst beslut om att handla, som i sin tur ger upphov till själva handlingen. (Detta är alltså till skillnad från exempelvis reflexmässiga, eller omedvetna handlingar, som inte bottnar in någon vilja och inte heller i något beslut att handla). Utifrån denna ”tre-stegs-modell” kan man förstå en autonom handling som en sådan där samtliga tre delar </w:t>
      </w:r>
      <w:r w:rsidRPr="008465F7">
        <w:rPr>
          <w:rFonts w:ascii="Times New Roman" w:hAnsi="Times New Roman" w:cs="Times New Roman"/>
          <w:i/>
          <w:sz w:val="26"/>
          <w:szCs w:val="26"/>
        </w:rPr>
        <w:t xml:space="preserve">härrör från mig </w:t>
      </w:r>
      <w:r w:rsidRPr="008465F7">
        <w:rPr>
          <w:rFonts w:ascii="Times New Roman" w:hAnsi="Times New Roman" w:cs="Times New Roman"/>
          <w:sz w:val="26"/>
          <w:szCs w:val="26"/>
        </w:rPr>
        <w:t xml:space="preserve">och </w:t>
      </w:r>
      <w:r w:rsidRPr="008465F7">
        <w:rPr>
          <w:rFonts w:ascii="Times New Roman" w:hAnsi="Times New Roman" w:cs="Times New Roman"/>
          <w:i/>
          <w:sz w:val="26"/>
          <w:szCs w:val="26"/>
        </w:rPr>
        <w:t xml:space="preserve">hänger ihop </w:t>
      </w:r>
      <w:r w:rsidRPr="008465F7">
        <w:rPr>
          <w:rFonts w:ascii="Times New Roman" w:hAnsi="Times New Roman" w:cs="Times New Roman"/>
          <w:noProof/>
          <w:sz w:val="26"/>
          <w:szCs w:val="26"/>
        </w:rPr>
        <w:t>(Sandman and Kjellström, 2013)</w:t>
      </w:r>
      <w:r w:rsidRPr="008465F7">
        <w:rPr>
          <w:rFonts w:ascii="Times New Roman" w:hAnsi="Times New Roman" w:cs="Times New Roman"/>
          <w:sz w:val="26"/>
          <w:szCs w:val="26"/>
        </w:rPr>
        <w:t xml:space="preserve">. Detta innebär att mitt handlande är autonomt om och endast om det är </w:t>
      </w:r>
      <w:r w:rsidRPr="008465F7">
        <w:rPr>
          <w:rFonts w:ascii="Times New Roman" w:hAnsi="Times New Roman" w:cs="Times New Roman"/>
          <w:i/>
          <w:sz w:val="26"/>
          <w:szCs w:val="26"/>
        </w:rPr>
        <w:t xml:space="preserve">min </w:t>
      </w:r>
      <w:r w:rsidRPr="008465F7">
        <w:rPr>
          <w:rFonts w:ascii="Times New Roman" w:hAnsi="Times New Roman" w:cs="Times New Roman"/>
          <w:sz w:val="26"/>
          <w:szCs w:val="26"/>
        </w:rPr>
        <w:t xml:space="preserve">önskning eller vilja som </w:t>
      </w:r>
      <w:r w:rsidRPr="008465F7">
        <w:rPr>
          <w:rFonts w:ascii="Times New Roman" w:hAnsi="Times New Roman" w:cs="Times New Roman"/>
          <w:i/>
          <w:sz w:val="26"/>
          <w:szCs w:val="26"/>
        </w:rPr>
        <w:t xml:space="preserve">jag </w:t>
      </w:r>
      <w:r w:rsidRPr="008465F7">
        <w:rPr>
          <w:rFonts w:ascii="Times New Roman" w:hAnsi="Times New Roman" w:cs="Times New Roman"/>
          <w:sz w:val="26"/>
          <w:szCs w:val="26"/>
        </w:rPr>
        <w:t xml:space="preserve">omsatt till </w:t>
      </w:r>
      <w:r w:rsidRPr="008465F7">
        <w:rPr>
          <w:rFonts w:ascii="Times New Roman" w:hAnsi="Times New Roman" w:cs="Times New Roman"/>
          <w:i/>
          <w:sz w:val="26"/>
          <w:szCs w:val="26"/>
        </w:rPr>
        <w:t xml:space="preserve">mitt beslut </w:t>
      </w:r>
      <w:r w:rsidRPr="008465F7">
        <w:rPr>
          <w:rFonts w:ascii="Times New Roman" w:hAnsi="Times New Roman" w:cs="Times New Roman"/>
          <w:sz w:val="26"/>
          <w:szCs w:val="26"/>
        </w:rPr>
        <w:t>(att handla på ett visst sätt)</w:t>
      </w:r>
      <w:r w:rsidRPr="008465F7">
        <w:rPr>
          <w:rFonts w:ascii="Times New Roman" w:hAnsi="Times New Roman" w:cs="Times New Roman"/>
          <w:i/>
          <w:sz w:val="26"/>
          <w:szCs w:val="26"/>
        </w:rPr>
        <w:t xml:space="preserve">, </w:t>
      </w:r>
      <w:r w:rsidRPr="008465F7">
        <w:rPr>
          <w:rFonts w:ascii="Times New Roman" w:hAnsi="Times New Roman" w:cs="Times New Roman"/>
          <w:sz w:val="26"/>
          <w:szCs w:val="26"/>
        </w:rPr>
        <w:t xml:space="preserve">som slutligen </w:t>
      </w:r>
      <w:r w:rsidRPr="008465F7">
        <w:rPr>
          <w:rFonts w:ascii="Times New Roman" w:hAnsi="Times New Roman" w:cs="Times New Roman"/>
          <w:i/>
          <w:sz w:val="26"/>
          <w:szCs w:val="26"/>
        </w:rPr>
        <w:t>jag</w:t>
      </w:r>
      <w:r w:rsidRPr="008465F7">
        <w:rPr>
          <w:rFonts w:ascii="Times New Roman" w:hAnsi="Times New Roman" w:cs="Times New Roman"/>
          <w:sz w:val="26"/>
          <w:szCs w:val="26"/>
        </w:rPr>
        <w:t xml:space="preserve"> omsatt till handling. Det finns begrepp för ovanstående, så att man brukar använda begreppet </w:t>
      </w:r>
      <w:bookmarkStart w:id="0" w:name="_GoBack"/>
      <w:r w:rsidRPr="008465F7">
        <w:rPr>
          <w:rFonts w:ascii="Times New Roman" w:hAnsi="Times New Roman" w:cs="Times New Roman"/>
          <w:sz w:val="26"/>
          <w:szCs w:val="26"/>
        </w:rPr>
        <w:t xml:space="preserve">”autentisk” </w:t>
      </w:r>
      <w:bookmarkEnd w:id="0"/>
      <w:r w:rsidRPr="008465F7">
        <w:rPr>
          <w:rFonts w:ascii="Times New Roman" w:hAnsi="Times New Roman" w:cs="Times New Roman"/>
          <w:sz w:val="26"/>
          <w:szCs w:val="26"/>
        </w:rPr>
        <w:t xml:space="preserve">om den vilja som verkligen är min, ”beslutskompetent” om den person som kan omsätta sin vilja i (rimliga) beslut, och ”handlingseffektiv” om den person som kan omsätta sina beslut i handling. </w:t>
      </w:r>
    </w:p>
    <w:p w14:paraId="6B1D3B05" w14:textId="77777777" w:rsidR="00466AB6" w:rsidRPr="008465F7" w:rsidRDefault="00466AB6">
      <w:pPr>
        <w:rPr>
          <w:rFonts w:ascii="Times New Roman" w:hAnsi="Times New Roman" w:cs="Times New Roman"/>
          <w:sz w:val="26"/>
          <w:szCs w:val="26"/>
        </w:rPr>
      </w:pPr>
      <w:r w:rsidRPr="008465F7">
        <w:rPr>
          <w:rFonts w:ascii="Times New Roman" w:hAnsi="Times New Roman" w:cs="Times New Roman"/>
          <w:sz w:val="26"/>
          <w:szCs w:val="26"/>
        </w:rPr>
        <w:t xml:space="preserve">Fenomen som kan påverka i första ledet (alltså: sådant som kan påverka min viljeinriktning) inkluderar manipulation (min vilja har blivit manipulerad), droger (”Putte vill inte dricka, men när han väl börjat kan han bara inte sluta”) eller depression (”jag vet att jag borde tycka att det här är kul, det är sånt jag brukar tycka är kul, men nu är det som om inget känns kul”). Sådant som påverkar beslutsprocessen kan vara sjukdomstillstånd (förvirring, droger, depression), men också vilseledande information (”jag vill äta en korv, man säger till mig att detta (en pinne) är en korv, så då ska jag väl äta den”). Sådant som påverkar handlingseffektiviteten kan vara att jag är handikappad, eller kanske bara så långsam att någon annan hinner utföra mina handlingar innan jag själv gör det (jämför ett barn vars föräldrar knyter skorna åt barnet, eller en gammal person som blir torkad fastän hen skulle kunna göra det själv – eller för att hen inte kan göra det själv!). </w:t>
      </w:r>
    </w:p>
    <w:p w14:paraId="5B6E29D9" w14:textId="77777777" w:rsidR="00466AB6" w:rsidRPr="008465F7" w:rsidRDefault="00466AB6">
      <w:pPr>
        <w:rPr>
          <w:rFonts w:ascii="Times New Roman" w:hAnsi="Times New Roman" w:cs="Times New Roman"/>
          <w:sz w:val="26"/>
          <w:szCs w:val="26"/>
        </w:rPr>
      </w:pPr>
      <w:r w:rsidRPr="008465F7">
        <w:rPr>
          <w:rFonts w:ascii="Times New Roman" w:hAnsi="Times New Roman" w:cs="Times New Roman"/>
          <w:sz w:val="26"/>
          <w:szCs w:val="26"/>
        </w:rPr>
        <w:t xml:space="preserve">Inom den medicinska etiken betraktas autonomi – liksom begreppen ovan – inte som </w:t>
      </w:r>
      <w:r w:rsidRPr="008465F7">
        <w:rPr>
          <w:rFonts w:ascii="Times New Roman" w:hAnsi="Times New Roman" w:cs="Times New Roman"/>
          <w:i/>
          <w:sz w:val="26"/>
          <w:szCs w:val="26"/>
        </w:rPr>
        <w:t>dikotoma</w:t>
      </w:r>
      <w:r w:rsidRPr="008465F7">
        <w:rPr>
          <w:rFonts w:ascii="Times New Roman" w:hAnsi="Times New Roman" w:cs="Times New Roman"/>
          <w:sz w:val="26"/>
          <w:szCs w:val="26"/>
        </w:rPr>
        <w:t xml:space="preserve">, dvs inte som något som man helt har eller helt saknar </w:t>
      </w:r>
      <w:r w:rsidRPr="008465F7">
        <w:rPr>
          <w:rFonts w:ascii="Times New Roman" w:hAnsi="Times New Roman" w:cs="Times New Roman"/>
          <w:noProof/>
          <w:sz w:val="26"/>
          <w:szCs w:val="26"/>
        </w:rPr>
        <w:t>(Beauchamp and Childress, 2013)</w:t>
      </w:r>
      <w:r w:rsidRPr="008465F7">
        <w:rPr>
          <w:rFonts w:ascii="Times New Roman" w:hAnsi="Times New Roman" w:cs="Times New Roman"/>
          <w:sz w:val="26"/>
          <w:szCs w:val="26"/>
        </w:rPr>
        <w:t xml:space="preserve">. Istället förekommer gråzoner, så att man kan vara mer eller mindre autonom (avseende en viss handling), eftersom man kan vara mer eller mindre autentisk, beslutskompetent samt handlingseffektiv.  </w:t>
      </w:r>
    </w:p>
    <w:p w14:paraId="2C484D90" w14:textId="77777777" w:rsidR="00466AB6" w:rsidRPr="008465F7" w:rsidRDefault="00466AB6">
      <w:pPr>
        <w:rPr>
          <w:rFonts w:ascii="Times New Roman" w:hAnsi="Times New Roman" w:cs="Times New Roman"/>
          <w:sz w:val="26"/>
          <w:szCs w:val="26"/>
        </w:rPr>
      </w:pPr>
      <w:r w:rsidRPr="008465F7">
        <w:rPr>
          <w:rFonts w:ascii="Times New Roman" w:hAnsi="Times New Roman" w:cs="Times New Roman"/>
          <w:sz w:val="26"/>
          <w:szCs w:val="26"/>
        </w:rPr>
        <w:t xml:space="preserve">För en sammanställning av de relevanta aspekterna hittills, se tabellen nedan: </w:t>
      </w:r>
    </w:p>
    <w:tbl>
      <w:tblPr>
        <w:tblStyle w:val="TableGrid"/>
        <w:tblW w:w="0" w:type="auto"/>
        <w:tblLook w:val="04A0" w:firstRow="1" w:lastRow="0" w:firstColumn="1" w:lastColumn="0" w:noHBand="0" w:noVBand="1"/>
      </w:tblPr>
      <w:tblGrid>
        <w:gridCol w:w="1328"/>
        <w:gridCol w:w="2572"/>
        <w:gridCol w:w="2577"/>
        <w:gridCol w:w="2585"/>
      </w:tblGrid>
      <w:tr w:rsidR="00466AB6" w:rsidRPr="008465F7" w14:paraId="5BDDD4C7" w14:textId="77777777" w:rsidTr="007A00DB">
        <w:tc>
          <w:tcPr>
            <w:tcW w:w="1290" w:type="dxa"/>
          </w:tcPr>
          <w:p w14:paraId="6CD45E15" w14:textId="77777777" w:rsidR="00466AB6" w:rsidRPr="008465F7" w:rsidRDefault="00466AB6" w:rsidP="007A00DB">
            <w:pPr>
              <w:rPr>
                <w:rFonts w:ascii="Times New Roman" w:hAnsi="Times New Roman" w:cs="Times New Roman"/>
                <w:sz w:val="26"/>
                <w:szCs w:val="26"/>
              </w:rPr>
            </w:pPr>
            <w:r w:rsidRPr="008465F7">
              <w:rPr>
                <w:rFonts w:ascii="Times New Roman" w:hAnsi="Times New Roman" w:cs="Times New Roman"/>
                <w:sz w:val="26"/>
                <w:szCs w:val="26"/>
              </w:rPr>
              <w:t>Generell modell för frivilliga handlingar</w:t>
            </w:r>
          </w:p>
        </w:tc>
        <w:tc>
          <w:tcPr>
            <w:tcW w:w="2590" w:type="dxa"/>
          </w:tcPr>
          <w:p w14:paraId="2A2A447D" w14:textId="77777777" w:rsidR="00466AB6" w:rsidRPr="008465F7" w:rsidRDefault="00466AB6" w:rsidP="007A00DB">
            <w:pPr>
              <w:rPr>
                <w:rFonts w:ascii="Times New Roman" w:hAnsi="Times New Roman" w:cs="Times New Roman"/>
                <w:sz w:val="26"/>
                <w:szCs w:val="26"/>
              </w:rPr>
            </w:pPr>
            <w:r w:rsidRPr="008465F7">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293D235" wp14:editId="0BF4279B">
                      <wp:simplePos x="0" y="0"/>
                      <wp:positionH relativeFrom="column">
                        <wp:posOffset>1260475</wp:posOffset>
                      </wp:positionH>
                      <wp:positionV relativeFrom="paragraph">
                        <wp:posOffset>55245</wp:posOffset>
                      </wp:positionV>
                      <wp:extent cx="876300" cy="76200"/>
                      <wp:effectExtent l="0" t="19050" r="38100" b="38100"/>
                      <wp:wrapNone/>
                      <wp:docPr id="2" name="Pil: höger 2"/>
                      <wp:cNvGraphicFramePr/>
                      <a:graphic xmlns:a="http://schemas.openxmlformats.org/drawingml/2006/main">
                        <a:graphicData uri="http://schemas.microsoft.com/office/word/2010/wordprocessingShape">
                          <wps:wsp>
                            <wps:cNvSpPr/>
                            <wps:spPr>
                              <a:xfrm>
                                <a:off x="0" y="0"/>
                                <a:ext cx="876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FED9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öger 2" o:spid="_x0000_s1026" type="#_x0000_t13" style="position:absolute;margin-left:99.25pt;margin-top:4.35pt;width:69pt;height: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" adj="20661" fillcolor="#4472c4 [3204]" strokecolor="#1f3763 [1604]" strokeweight="1pt"/>
                  </w:pict>
                </mc:Fallback>
              </mc:AlternateContent>
            </w:r>
            <w:r w:rsidRPr="008465F7">
              <w:rPr>
                <w:rFonts w:ascii="Times New Roman" w:hAnsi="Times New Roman" w:cs="Times New Roman"/>
                <w:b/>
                <w:sz w:val="26"/>
                <w:szCs w:val="26"/>
              </w:rPr>
              <w:t xml:space="preserve">           Vilja/önskning</w:t>
            </w:r>
            <w:r w:rsidRPr="008465F7">
              <w:rPr>
                <w:rFonts w:ascii="Times New Roman" w:hAnsi="Times New Roman" w:cs="Times New Roman"/>
                <w:sz w:val="26"/>
                <w:szCs w:val="26"/>
              </w:rPr>
              <w:t xml:space="preserve">  </w:t>
            </w:r>
          </w:p>
        </w:tc>
        <w:tc>
          <w:tcPr>
            <w:tcW w:w="2591" w:type="dxa"/>
          </w:tcPr>
          <w:p w14:paraId="329248CD" w14:textId="77777777" w:rsidR="00466AB6" w:rsidRPr="008465F7" w:rsidRDefault="00466AB6" w:rsidP="007A00DB">
            <w:pPr>
              <w:jc w:val="center"/>
              <w:rPr>
                <w:rFonts w:ascii="Times New Roman" w:hAnsi="Times New Roman" w:cs="Times New Roman"/>
                <w:sz w:val="26"/>
                <w:szCs w:val="26"/>
              </w:rPr>
            </w:pPr>
            <w:r w:rsidRPr="008465F7">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30A00B73" wp14:editId="06E3FFB7">
                      <wp:simplePos x="0" y="0"/>
                      <wp:positionH relativeFrom="column">
                        <wp:posOffset>1110615</wp:posOffset>
                      </wp:positionH>
                      <wp:positionV relativeFrom="paragraph">
                        <wp:posOffset>55245</wp:posOffset>
                      </wp:positionV>
                      <wp:extent cx="876300" cy="76200"/>
                      <wp:effectExtent l="0" t="19050" r="38100" b="38100"/>
                      <wp:wrapNone/>
                      <wp:docPr id="1" name="Pil: höger 1"/>
                      <wp:cNvGraphicFramePr/>
                      <a:graphic xmlns:a="http://schemas.openxmlformats.org/drawingml/2006/main">
                        <a:graphicData uri="http://schemas.microsoft.com/office/word/2010/wordprocessingShape">
                          <wps:wsp>
                            <wps:cNvSpPr/>
                            <wps:spPr>
                              <a:xfrm>
                                <a:off x="0" y="0"/>
                                <a:ext cx="876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DE62FD" id="Pil: höger 1" o:spid="_x0000_s1026" type="#_x0000_t13" style="position:absolute;margin-left:87.45pt;margin-top:4.35pt;width:69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" adj="20661" fillcolor="#4472c4 [3204]" strokecolor="#1f3763 [1604]" strokeweight="1pt"/>
                  </w:pict>
                </mc:Fallback>
              </mc:AlternateContent>
            </w:r>
            <w:r w:rsidRPr="008465F7">
              <w:rPr>
                <w:rFonts w:ascii="Times New Roman" w:hAnsi="Times New Roman" w:cs="Times New Roman"/>
                <w:b/>
                <w:sz w:val="26"/>
                <w:szCs w:val="26"/>
              </w:rPr>
              <w:t>Beslut</w:t>
            </w:r>
            <w:r w:rsidRPr="008465F7">
              <w:rPr>
                <w:rFonts w:ascii="Times New Roman" w:hAnsi="Times New Roman" w:cs="Times New Roman"/>
                <w:sz w:val="26"/>
                <w:szCs w:val="26"/>
              </w:rPr>
              <w:t xml:space="preserve"> </w:t>
            </w:r>
          </w:p>
        </w:tc>
        <w:tc>
          <w:tcPr>
            <w:tcW w:w="2591" w:type="dxa"/>
          </w:tcPr>
          <w:p w14:paraId="30FFAEB3" w14:textId="77777777" w:rsidR="00466AB6" w:rsidRPr="008465F7" w:rsidRDefault="00466AB6" w:rsidP="007A00DB">
            <w:pPr>
              <w:jc w:val="center"/>
              <w:rPr>
                <w:rFonts w:ascii="Times New Roman" w:hAnsi="Times New Roman" w:cs="Times New Roman"/>
                <w:sz w:val="26"/>
                <w:szCs w:val="26"/>
              </w:rPr>
            </w:pPr>
            <w:r w:rsidRPr="008465F7">
              <w:rPr>
                <w:rFonts w:ascii="Times New Roman" w:hAnsi="Times New Roman" w:cs="Times New Roman"/>
                <w:b/>
                <w:sz w:val="26"/>
                <w:szCs w:val="26"/>
              </w:rPr>
              <w:t>Handling</w:t>
            </w:r>
          </w:p>
        </w:tc>
      </w:tr>
      <w:tr w:rsidR="00466AB6" w:rsidRPr="008465F7" w14:paraId="422CE231" w14:textId="77777777" w:rsidTr="007A00DB">
        <w:tc>
          <w:tcPr>
            <w:tcW w:w="1290" w:type="dxa"/>
          </w:tcPr>
          <w:p w14:paraId="6838C8A2" w14:textId="77777777" w:rsidR="00466AB6" w:rsidRPr="008465F7" w:rsidRDefault="00466AB6">
            <w:pPr>
              <w:rPr>
                <w:rFonts w:ascii="Times New Roman" w:hAnsi="Times New Roman" w:cs="Times New Roman"/>
                <w:b/>
                <w:sz w:val="26"/>
                <w:szCs w:val="26"/>
              </w:rPr>
            </w:pPr>
            <w:r w:rsidRPr="008465F7">
              <w:rPr>
                <w:rFonts w:ascii="Times New Roman" w:hAnsi="Times New Roman" w:cs="Times New Roman"/>
                <w:b/>
                <w:sz w:val="26"/>
                <w:szCs w:val="26"/>
              </w:rPr>
              <w:lastRenderedPageBreak/>
              <w:t>Villkor för autonomi</w:t>
            </w:r>
          </w:p>
        </w:tc>
        <w:tc>
          <w:tcPr>
            <w:tcW w:w="2592" w:type="dxa"/>
          </w:tcPr>
          <w:p w14:paraId="6575CFBB" w14:textId="77777777" w:rsidR="00466AB6" w:rsidRPr="008465F7" w:rsidRDefault="00466AB6" w:rsidP="007A00DB">
            <w:pPr>
              <w:jc w:val="center"/>
              <w:rPr>
                <w:rFonts w:ascii="Times New Roman" w:hAnsi="Times New Roman" w:cs="Times New Roman"/>
                <w:sz w:val="26"/>
                <w:szCs w:val="26"/>
              </w:rPr>
            </w:pPr>
            <w:r w:rsidRPr="008465F7">
              <w:rPr>
                <w:rFonts w:ascii="Times New Roman" w:hAnsi="Times New Roman" w:cs="Times New Roman"/>
                <w:sz w:val="26"/>
                <w:szCs w:val="26"/>
              </w:rPr>
              <w:t>Min vilja</w:t>
            </w:r>
          </w:p>
        </w:tc>
        <w:tc>
          <w:tcPr>
            <w:tcW w:w="2590" w:type="dxa"/>
          </w:tcPr>
          <w:p w14:paraId="73AF33D0" w14:textId="77777777" w:rsidR="00466AB6" w:rsidRPr="008465F7" w:rsidRDefault="00466AB6" w:rsidP="007A00DB">
            <w:pPr>
              <w:jc w:val="center"/>
              <w:rPr>
                <w:rFonts w:ascii="Times New Roman" w:hAnsi="Times New Roman" w:cs="Times New Roman"/>
                <w:sz w:val="26"/>
                <w:szCs w:val="26"/>
              </w:rPr>
            </w:pPr>
            <w:r w:rsidRPr="008465F7">
              <w:rPr>
                <w:rFonts w:ascii="Times New Roman" w:hAnsi="Times New Roman" w:cs="Times New Roman"/>
                <w:sz w:val="26"/>
                <w:szCs w:val="26"/>
              </w:rPr>
              <w:t>Mitt beslut (baserat på min vilja)</w:t>
            </w:r>
          </w:p>
        </w:tc>
        <w:tc>
          <w:tcPr>
            <w:tcW w:w="2590" w:type="dxa"/>
          </w:tcPr>
          <w:p w14:paraId="2363AE92" w14:textId="77777777" w:rsidR="00466AB6" w:rsidRPr="008465F7" w:rsidRDefault="00466AB6" w:rsidP="007A00DB">
            <w:pPr>
              <w:jc w:val="center"/>
              <w:rPr>
                <w:rFonts w:ascii="Times New Roman" w:hAnsi="Times New Roman" w:cs="Times New Roman"/>
                <w:sz w:val="26"/>
                <w:szCs w:val="26"/>
              </w:rPr>
            </w:pPr>
            <w:r w:rsidRPr="008465F7">
              <w:rPr>
                <w:rFonts w:ascii="Times New Roman" w:hAnsi="Times New Roman" w:cs="Times New Roman"/>
                <w:sz w:val="26"/>
                <w:szCs w:val="26"/>
              </w:rPr>
              <w:t>Min handling (baserat på mitt beslut)</w:t>
            </w:r>
          </w:p>
        </w:tc>
      </w:tr>
      <w:tr w:rsidR="00466AB6" w:rsidRPr="008465F7" w14:paraId="0D7EF7A5" w14:textId="77777777" w:rsidTr="007A00DB">
        <w:tc>
          <w:tcPr>
            <w:tcW w:w="1290" w:type="dxa"/>
          </w:tcPr>
          <w:p w14:paraId="4EEE52C2" w14:textId="77777777" w:rsidR="00466AB6" w:rsidRPr="008465F7" w:rsidRDefault="00466AB6">
            <w:pPr>
              <w:rPr>
                <w:rFonts w:ascii="Times New Roman" w:hAnsi="Times New Roman" w:cs="Times New Roman"/>
                <w:b/>
                <w:sz w:val="26"/>
                <w:szCs w:val="26"/>
              </w:rPr>
            </w:pPr>
            <w:r w:rsidRPr="008465F7">
              <w:rPr>
                <w:rFonts w:ascii="Times New Roman" w:hAnsi="Times New Roman" w:cs="Times New Roman"/>
                <w:b/>
                <w:sz w:val="26"/>
                <w:szCs w:val="26"/>
              </w:rPr>
              <w:t>Relevant begrepp</w:t>
            </w:r>
          </w:p>
        </w:tc>
        <w:tc>
          <w:tcPr>
            <w:tcW w:w="2592" w:type="dxa"/>
          </w:tcPr>
          <w:p w14:paraId="27E9B7F7" w14:textId="77777777" w:rsidR="00466AB6" w:rsidRPr="008465F7" w:rsidRDefault="00466AB6" w:rsidP="007A00DB">
            <w:pPr>
              <w:jc w:val="center"/>
              <w:rPr>
                <w:rFonts w:ascii="Times New Roman" w:hAnsi="Times New Roman" w:cs="Times New Roman"/>
                <w:sz w:val="26"/>
                <w:szCs w:val="26"/>
              </w:rPr>
            </w:pPr>
            <w:r w:rsidRPr="008465F7">
              <w:rPr>
                <w:rFonts w:ascii="Times New Roman" w:hAnsi="Times New Roman" w:cs="Times New Roman"/>
                <w:sz w:val="26"/>
                <w:szCs w:val="26"/>
              </w:rPr>
              <w:t>autenticitet</w:t>
            </w:r>
          </w:p>
        </w:tc>
        <w:tc>
          <w:tcPr>
            <w:tcW w:w="2590" w:type="dxa"/>
          </w:tcPr>
          <w:p w14:paraId="4C435041" w14:textId="77777777" w:rsidR="00466AB6" w:rsidRPr="008465F7" w:rsidRDefault="00466AB6" w:rsidP="007A00DB">
            <w:pPr>
              <w:jc w:val="center"/>
              <w:rPr>
                <w:rFonts w:ascii="Times New Roman" w:hAnsi="Times New Roman" w:cs="Times New Roman"/>
                <w:sz w:val="26"/>
                <w:szCs w:val="26"/>
              </w:rPr>
            </w:pPr>
            <w:r w:rsidRPr="008465F7">
              <w:rPr>
                <w:rFonts w:ascii="Times New Roman" w:hAnsi="Times New Roman" w:cs="Times New Roman"/>
                <w:sz w:val="26"/>
                <w:szCs w:val="26"/>
              </w:rPr>
              <w:t>beslutskompetens</w:t>
            </w:r>
          </w:p>
        </w:tc>
        <w:tc>
          <w:tcPr>
            <w:tcW w:w="2590" w:type="dxa"/>
          </w:tcPr>
          <w:p w14:paraId="4D6A9911" w14:textId="77777777" w:rsidR="00466AB6" w:rsidRPr="008465F7" w:rsidRDefault="00466AB6" w:rsidP="007A00DB">
            <w:pPr>
              <w:jc w:val="center"/>
              <w:rPr>
                <w:rFonts w:ascii="Times New Roman" w:hAnsi="Times New Roman" w:cs="Times New Roman"/>
                <w:sz w:val="26"/>
                <w:szCs w:val="26"/>
              </w:rPr>
            </w:pPr>
            <w:r w:rsidRPr="008465F7">
              <w:rPr>
                <w:rFonts w:ascii="Times New Roman" w:hAnsi="Times New Roman" w:cs="Times New Roman"/>
                <w:sz w:val="26"/>
                <w:szCs w:val="26"/>
              </w:rPr>
              <w:t>handlingseffektivitet</w:t>
            </w:r>
          </w:p>
        </w:tc>
      </w:tr>
      <w:tr w:rsidR="00466AB6" w:rsidRPr="008465F7" w14:paraId="02FF84EC" w14:textId="77777777" w:rsidTr="007A00DB">
        <w:tc>
          <w:tcPr>
            <w:tcW w:w="1290" w:type="dxa"/>
          </w:tcPr>
          <w:p w14:paraId="5AEF3FF1" w14:textId="77777777" w:rsidR="00466AB6" w:rsidRPr="008465F7" w:rsidRDefault="00466AB6">
            <w:pPr>
              <w:rPr>
                <w:rFonts w:ascii="Times New Roman" w:hAnsi="Times New Roman" w:cs="Times New Roman"/>
                <w:b/>
                <w:sz w:val="26"/>
                <w:szCs w:val="26"/>
              </w:rPr>
            </w:pPr>
            <w:r w:rsidRPr="008465F7">
              <w:rPr>
                <w:rFonts w:ascii="Times New Roman" w:hAnsi="Times New Roman" w:cs="Times New Roman"/>
                <w:b/>
                <w:sz w:val="26"/>
                <w:szCs w:val="26"/>
              </w:rPr>
              <w:t>Faktorer som hindrar</w:t>
            </w:r>
          </w:p>
        </w:tc>
        <w:tc>
          <w:tcPr>
            <w:tcW w:w="2592" w:type="dxa"/>
          </w:tcPr>
          <w:p w14:paraId="2774F9F0" w14:textId="77777777" w:rsidR="00466AB6" w:rsidRPr="008465F7" w:rsidRDefault="00466AB6" w:rsidP="007A00DB">
            <w:pPr>
              <w:jc w:val="center"/>
              <w:rPr>
                <w:rFonts w:ascii="Times New Roman" w:hAnsi="Times New Roman" w:cs="Times New Roman"/>
                <w:sz w:val="26"/>
                <w:szCs w:val="26"/>
              </w:rPr>
            </w:pPr>
            <w:r w:rsidRPr="008465F7">
              <w:rPr>
                <w:rFonts w:ascii="Times New Roman" w:hAnsi="Times New Roman" w:cs="Times New Roman"/>
                <w:sz w:val="26"/>
                <w:szCs w:val="26"/>
              </w:rPr>
              <w:t>Manipulation, droger, depression</w:t>
            </w:r>
          </w:p>
        </w:tc>
        <w:tc>
          <w:tcPr>
            <w:tcW w:w="2590" w:type="dxa"/>
          </w:tcPr>
          <w:p w14:paraId="4DA5298E" w14:textId="77777777" w:rsidR="00466AB6" w:rsidRPr="008465F7" w:rsidRDefault="00466AB6" w:rsidP="007A00DB">
            <w:pPr>
              <w:jc w:val="center"/>
              <w:rPr>
                <w:rFonts w:ascii="Times New Roman" w:hAnsi="Times New Roman" w:cs="Times New Roman"/>
                <w:sz w:val="26"/>
                <w:szCs w:val="26"/>
              </w:rPr>
            </w:pPr>
            <w:r w:rsidRPr="008465F7">
              <w:rPr>
                <w:rFonts w:ascii="Times New Roman" w:hAnsi="Times New Roman" w:cs="Times New Roman"/>
                <w:sz w:val="26"/>
                <w:szCs w:val="26"/>
              </w:rPr>
              <w:t>Förvirring, droger, depression</w:t>
            </w:r>
          </w:p>
        </w:tc>
        <w:tc>
          <w:tcPr>
            <w:tcW w:w="2590" w:type="dxa"/>
          </w:tcPr>
          <w:p w14:paraId="5437FD5C" w14:textId="77777777" w:rsidR="00466AB6" w:rsidRPr="008465F7" w:rsidRDefault="00466AB6" w:rsidP="007A00DB">
            <w:pPr>
              <w:jc w:val="center"/>
              <w:rPr>
                <w:rFonts w:ascii="Times New Roman" w:hAnsi="Times New Roman" w:cs="Times New Roman"/>
                <w:sz w:val="26"/>
                <w:szCs w:val="26"/>
              </w:rPr>
            </w:pPr>
            <w:r w:rsidRPr="008465F7">
              <w:rPr>
                <w:rFonts w:ascii="Times New Roman" w:hAnsi="Times New Roman" w:cs="Times New Roman"/>
                <w:sz w:val="26"/>
                <w:szCs w:val="26"/>
              </w:rPr>
              <w:t>Handikapp, yttre tvång</w:t>
            </w:r>
          </w:p>
        </w:tc>
      </w:tr>
    </w:tbl>
    <w:p w14:paraId="1F9B04B0" w14:textId="77777777" w:rsidR="00466AB6" w:rsidRPr="008465F7" w:rsidRDefault="00466AB6">
      <w:pPr>
        <w:rPr>
          <w:rFonts w:ascii="Times New Roman" w:hAnsi="Times New Roman" w:cs="Times New Roman"/>
          <w:sz w:val="26"/>
          <w:szCs w:val="26"/>
        </w:rPr>
      </w:pPr>
    </w:p>
    <w:p w14:paraId="190F9B33" w14:textId="77777777" w:rsidR="00466AB6" w:rsidRPr="008465F7" w:rsidRDefault="00466AB6">
      <w:pPr>
        <w:rPr>
          <w:rFonts w:ascii="Times New Roman" w:hAnsi="Times New Roman" w:cs="Times New Roman"/>
          <w:sz w:val="26"/>
          <w:szCs w:val="26"/>
        </w:rPr>
      </w:pPr>
    </w:p>
    <w:p w14:paraId="06C1B40B" w14:textId="77777777" w:rsidR="00466AB6" w:rsidRPr="008465F7" w:rsidRDefault="00466AB6" w:rsidP="007A00DB">
      <w:pPr>
        <w:rPr>
          <w:rFonts w:ascii="Times New Roman" w:hAnsi="Times New Roman" w:cs="Times New Roman"/>
          <w:sz w:val="26"/>
          <w:szCs w:val="26"/>
        </w:rPr>
      </w:pPr>
      <w:r w:rsidRPr="008465F7">
        <w:rPr>
          <w:rFonts w:ascii="Times New Roman" w:hAnsi="Times New Roman" w:cs="Times New Roman"/>
          <w:sz w:val="26"/>
          <w:szCs w:val="26"/>
        </w:rPr>
        <w:t xml:space="preserve">Som synes ovan är alltså beslutskompetens inte synonymt med autonomi, utan en förutsättning för autonomi eftersom det utgör en del av en kedja, där varje länk krävs för att en handling ska kallas fullt ut autonom. Som antyds ovan skiljer sig också ”beslutskompetens” från ”autenticitet” såtillvida att det förstnämnda är en (hypotetisk) </w:t>
      </w:r>
      <w:r w:rsidRPr="008465F7">
        <w:rPr>
          <w:rFonts w:ascii="Times New Roman" w:hAnsi="Times New Roman" w:cs="Times New Roman"/>
          <w:i/>
          <w:sz w:val="26"/>
          <w:szCs w:val="26"/>
        </w:rPr>
        <w:t>kompetens</w:t>
      </w:r>
      <w:r w:rsidRPr="008465F7">
        <w:rPr>
          <w:rFonts w:ascii="Times New Roman" w:hAnsi="Times New Roman" w:cs="Times New Roman"/>
          <w:sz w:val="26"/>
          <w:szCs w:val="26"/>
        </w:rPr>
        <w:t xml:space="preserve">, som förläggs hos </w:t>
      </w:r>
      <w:r w:rsidRPr="008465F7">
        <w:rPr>
          <w:rFonts w:ascii="Times New Roman" w:hAnsi="Times New Roman" w:cs="Times New Roman"/>
          <w:i/>
          <w:sz w:val="26"/>
          <w:szCs w:val="26"/>
        </w:rPr>
        <w:t xml:space="preserve">personen, </w:t>
      </w:r>
      <w:r w:rsidRPr="008465F7">
        <w:rPr>
          <w:rFonts w:ascii="Times New Roman" w:hAnsi="Times New Roman" w:cs="Times New Roman"/>
          <w:sz w:val="26"/>
          <w:szCs w:val="26"/>
        </w:rPr>
        <w:t xml:space="preserve">medan det sistnämnda är en </w:t>
      </w:r>
      <w:r w:rsidRPr="008465F7">
        <w:rPr>
          <w:rFonts w:ascii="Times New Roman" w:hAnsi="Times New Roman" w:cs="Times New Roman"/>
          <w:i/>
          <w:sz w:val="26"/>
          <w:szCs w:val="26"/>
        </w:rPr>
        <w:t>faktisk egenskap</w:t>
      </w:r>
      <w:r w:rsidRPr="008465F7">
        <w:rPr>
          <w:rFonts w:ascii="Times New Roman" w:hAnsi="Times New Roman" w:cs="Times New Roman"/>
          <w:sz w:val="26"/>
          <w:szCs w:val="26"/>
        </w:rPr>
        <w:t xml:space="preserve"> hos själva </w:t>
      </w:r>
      <w:r w:rsidRPr="008465F7">
        <w:rPr>
          <w:rFonts w:ascii="Times New Roman" w:hAnsi="Times New Roman" w:cs="Times New Roman"/>
          <w:i/>
          <w:sz w:val="26"/>
          <w:szCs w:val="26"/>
        </w:rPr>
        <w:t>viljan</w:t>
      </w:r>
      <w:r w:rsidRPr="008465F7">
        <w:rPr>
          <w:rFonts w:ascii="Times New Roman" w:hAnsi="Times New Roman" w:cs="Times New Roman"/>
          <w:sz w:val="26"/>
          <w:szCs w:val="26"/>
        </w:rPr>
        <w:t xml:space="preserve">. Då vi säger att Putte ”verkligen inte vill riskera ett återfall” tolkas detta som att det är sant att det är Puttes egen, starka vilja att inte riskera ett återfall. Då vi istället säger ”Putte bestämde detta och han var beslutskompetent” innebär det inte i första hand att själva beslutet var beslutskompetens, utan att Putte, då han fattade beslutet, var kompetent att fatta sådana beslut – vilket anses ”färga av sig” på det aktuella beslutet. Mer om detta nedan. </w:t>
      </w:r>
    </w:p>
    <w:p w14:paraId="5024CC88" w14:textId="7C78421F" w:rsidR="00466AB6" w:rsidRPr="008465F7" w:rsidRDefault="008465F7" w:rsidP="007A00DB">
      <w:pPr>
        <w:rPr>
          <w:rFonts w:ascii="Times New Roman" w:hAnsi="Times New Roman" w:cs="Times New Roman"/>
          <w:sz w:val="26"/>
          <w:szCs w:val="26"/>
        </w:rPr>
      </w:pPr>
      <w:r>
        <w:rPr>
          <w:rFonts w:ascii="Times New Roman" w:hAnsi="Times New Roman" w:cs="Times New Roman"/>
          <w:sz w:val="26"/>
          <w:szCs w:val="26"/>
        </w:rPr>
        <w:t xml:space="preserve">Ett trevligt citat, </w:t>
      </w:r>
      <w:r w:rsidR="00466AB6" w:rsidRPr="008465F7">
        <w:rPr>
          <w:rFonts w:ascii="Times New Roman" w:hAnsi="Times New Roman" w:cs="Times New Roman"/>
          <w:sz w:val="26"/>
          <w:szCs w:val="26"/>
        </w:rPr>
        <w:t xml:space="preserve">som fångar </w:t>
      </w:r>
      <w:r>
        <w:rPr>
          <w:rFonts w:ascii="Times New Roman" w:hAnsi="Times New Roman" w:cs="Times New Roman"/>
          <w:sz w:val="26"/>
          <w:szCs w:val="26"/>
        </w:rPr>
        <w:t xml:space="preserve">de två värden som måste balanseras mot varandra i sammanhanget (nämligen: </w:t>
      </w:r>
      <w:r w:rsidR="00466AB6" w:rsidRPr="008465F7">
        <w:rPr>
          <w:rFonts w:ascii="Times New Roman" w:hAnsi="Times New Roman" w:cs="Times New Roman"/>
          <w:sz w:val="26"/>
          <w:szCs w:val="26"/>
        </w:rPr>
        <w:t xml:space="preserve">vikten av att respektera autonomi </w:t>
      </w:r>
      <w:r>
        <w:rPr>
          <w:rFonts w:ascii="Times New Roman" w:hAnsi="Times New Roman" w:cs="Times New Roman"/>
          <w:sz w:val="26"/>
          <w:szCs w:val="26"/>
        </w:rPr>
        <w:t xml:space="preserve">kontra vikten av att endast respektera sådana </w:t>
      </w:r>
      <w:r w:rsidR="00466AB6" w:rsidRPr="008465F7">
        <w:rPr>
          <w:rFonts w:ascii="Times New Roman" w:hAnsi="Times New Roman" w:cs="Times New Roman"/>
          <w:sz w:val="26"/>
          <w:szCs w:val="26"/>
        </w:rPr>
        <w:t xml:space="preserve">viljeyttringar som verkligen </w:t>
      </w:r>
      <w:r>
        <w:rPr>
          <w:rFonts w:ascii="Times New Roman" w:hAnsi="Times New Roman" w:cs="Times New Roman"/>
          <w:sz w:val="26"/>
          <w:szCs w:val="26"/>
        </w:rPr>
        <w:t xml:space="preserve">innebär </w:t>
      </w:r>
      <w:r w:rsidR="00466AB6" w:rsidRPr="008465F7">
        <w:rPr>
          <w:rFonts w:ascii="Times New Roman" w:hAnsi="Times New Roman" w:cs="Times New Roman"/>
          <w:sz w:val="26"/>
          <w:szCs w:val="26"/>
        </w:rPr>
        <w:t>uttryck för autonomi</w:t>
      </w:r>
      <w:r>
        <w:rPr>
          <w:rFonts w:ascii="Times New Roman" w:hAnsi="Times New Roman" w:cs="Times New Roman"/>
          <w:sz w:val="26"/>
          <w:szCs w:val="26"/>
        </w:rPr>
        <w:t>) är som följer</w:t>
      </w:r>
      <w:r w:rsidR="00466AB6" w:rsidRPr="008465F7">
        <w:rPr>
          <w:rFonts w:ascii="Times New Roman" w:hAnsi="Times New Roman" w:cs="Times New Roman"/>
          <w:sz w:val="26"/>
          <w:szCs w:val="26"/>
        </w:rPr>
        <w:t xml:space="preserve">: </w:t>
      </w:r>
    </w:p>
    <w:p w14:paraId="321FC9E7" w14:textId="0232BDC4" w:rsidR="00466AB6" w:rsidRPr="008465F7" w:rsidRDefault="00466AB6" w:rsidP="008465F7">
      <w:pPr>
        <w:ind w:left="1304"/>
        <w:rPr>
          <w:rFonts w:ascii="Times New Roman" w:hAnsi="Times New Roman" w:cs="Times New Roman"/>
          <w:sz w:val="26"/>
          <w:szCs w:val="26"/>
          <w:lang w:val="en-GB"/>
        </w:rPr>
      </w:pPr>
      <w:r w:rsidRPr="008465F7">
        <w:rPr>
          <w:rFonts w:ascii="Times New Roman" w:hAnsi="Times New Roman" w:cs="Times New Roman"/>
          <w:sz w:val="26"/>
          <w:szCs w:val="26"/>
          <w:lang w:val="en-GB"/>
        </w:rPr>
        <w:t>"patients should be empowered to make their own d</w:t>
      </w:r>
      <w:r w:rsidR="008465F7">
        <w:rPr>
          <w:rFonts w:ascii="Times New Roman" w:hAnsi="Times New Roman" w:cs="Times New Roman"/>
          <w:sz w:val="26"/>
          <w:szCs w:val="26"/>
          <w:lang w:val="en-GB"/>
        </w:rPr>
        <w:t>ec</w:t>
      </w:r>
      <w:r w:rsidRPr="008465F7">
        <w:rPr>
          <w:rFonts w:ascii="Times New Roman" w:hAnsi="Times New Roman" w:cs="Times New Roman"/>
          <w:sz w:val="26"/>
          <w:szCs w:val="26"/>
          <w:lang w:val="en-GB"/>
        </w:rPr>
        <w:t>i</w:t>
      </w:r>
      <w:r w:rsidR="008465F7">
        <w:rPr>
          <w:rFonts w:ascii="Times New Roman" w:hAnsi="Times New Roman" w:cs="Times New Roman"/>
          <w:sz w:val="26"/>
          <w:szCs w:val="26"/>
          <w:lang w:val="en-GB"/>
        </w:rPr>
        <w:t>s</w:t>
      </w:r>
      <w:r w:rsidRPr="008465F7">
        <w:rPr>
          <w:rFonts w:ascii="Times New Roman" w:hAnsi="Times New Roman" w:cs="Times New Roman"/>
          <w:sz w:val="26"/>
          <w:szCs w:val="26"/>
          <w:lang w:val="en-GB"/>
        </w:rPr>
        <w:t>ions, except those for which they lack specific capacity"</w:t>
      </w:r>
      <w:r w:rsidRPr="008465F7">
        <w:rPr>
          <w:rFonts w:ascii="Times New Roman" w:hAnsi="Times New Roman" w:cs="Times New Roman"/>
          <w:noProof/>
          <w:sz w:val="26"/>
          <w:szCs w:val="26"/>
          <w:lang w:val="en-GB"/>
        </w:rPr>
        <w:t>(</w:t>
      </w:r>
      <w:proofErr w:type="spellStart"/>
      <w:r w:rsidRPr="008465F7">
        <w:rPr>
          <w:rFonts w:ascii="Times New Roman" w:hAnsi="Times New Roman" w:cs="Times New Roman"/>
          <w:noProof/>
          <w:sz w:val="26"/>
          <w:szCs w:val="26"/>
          <w:lang w:val="en-GB"/>
        </w:rPr>
        <w:t>Ganzini</w:t>
      </w:r>
      <w:proofErr w:type="spellEnd"/>
      <w:r w:rsidRPr="008465F7">
        <w:rPr>
          <w:rFonts w:ascii="Times New Roman" w:hAnsi="Times New Roman" w:cs="Times New Roman"/>
          <w:noProof/>
          <w:sz w:val="26"/>
          <w:szCs w:val="26"/>
          <w:lang w:val="en-GB"/>
        </w:rPr>
        <w:t xml:space="preserve"> et al., 2005)</w:t>
      </w:r>
    </w:p>
    <w:p w14:paraId="08916FB9" w14:textId="03ED6294" w:rsidR="00466AB6" w:rsidRPr="008465F7" w:rsidRDefault="008465F7" w:rsidP="007A00DB">
      <w:pPr>
        <w:rPr>
          <w:rFonts w:ascii="Times New Roman" w:hAnsi="Times New Roman" w:cs="Times New Roman"/>
          <w:sz w:val="26"/>
          <w:szCs w:val="26"/>
        </w:rPr>
      </w:pPr>
      <w:r>
        <w:rPr>
          <w:rFonts w:ascii="Times New Roman" w:hAnsi="Times New Roman" w:cs="Times New Roman"/>
          <w:sz w:val="26"/>
          <w:szCs w:val="26"/>
        </w:rPr>
        <w:t xml:space="preserve">BETYDELSE AV </w:t>
      </w:r>
      <w:r w:rsidR="00466AB6" w:rsidRPr="008465F7">
        <w:rPr>
          <w:rFonts w:ascii="Times New Roman" w:hAnsi="Times New Roman" w:cs="Times New Roman"/>
          <w:sz w:val="26"/>
          <w:szCs w:val="26"/>
        </w:rPr>
        <w:t xml:space="preserve">BESLUTSKOMPETENS </w:t>
      </w:r>
      <w:r>
        <w:rPr>
          <w:rFonts w:ascii="Times New Roman" w:hAnsi="Times New Roman" w:cs="Times New Roman"/>
          <w:sz w:val="26"/>
          <w:szCs w:val="26"/>
        </w:rPr>
        <w:t>FÖR KLINISK PRAXIS</w:t>
      </w:r>
      <w:r w:rsidR="00466AB6" w:rsidRPr="008465F7">
        <w:rPr>
          <w:rFonts w:ascii="Times New Roman" w:hAnsi="Times New Roman" w:cs="Times New Roman"/>
          <w:sz w:val="26"/>
          <w:szCs w:val="26"/>
        </w:rPr>
        <w:t xml:space="preserve"> </w:t>
      </w:r>
    </w:p>
    <w:p w14:paraId="640CC238" w14:textId="02E3D899" w:rsidR="00466AB6" w:rsidRPr="008465F7" w:rsidRDefault="008465F7">
      <w:pPr>
        <w:rPr>
          <w:rFonts w:ascii="Times New Roman" w:hAnsi="Times New Roman" w:cs="Times New Roman"/>
          <w:noProof/>
          <w:sz w:val="26"/>
          <w:szCs w:val="26"/>
        </w:rPr>
      </w:pPr>
      <w:r>
        <w:rPr>
          <w:rFonts w:ascii="Times New Roman" w:hAnsi="Times New Roman" w:cs="Times New Roman"/>
          <w:sz w:val="26"/>
          <w:szCs w:val="26"/>
        </w:rPr>
        <w:t xml:space="preserve">I den filosofiska diskussionen om beslutskompetens betonas att tröskeln inte får sättas så högt att ”ingen” kan anses </w:t>
      </w:r>
      <w:r w:rsidR="00466AB6" w:rsidRPr="008465F7">
        <w:rPr>
          <w:rFonts w:ascii="Times New Roman" w:hAnsi="Times New Roman" w:cs="Times New Roman"/>
          <w:sz w:val="26"/>
          <w:szCs w:val="26"/>
        </w:rPr>
        <w:t xml:space="preserve">beslutskompetent </w:t>
      </w:r>
      <w:r w:rsidR="00466AB6" w:rsidRPr="008465F7">
        <w:rPr>
          <w:rFonts w:ascii="Times New Roman" w:hAnsi="Times New Roman" w:cs="Times New Roman"/>
          <w:noProof/>
          <w:sz w:val="26"/>
          <w:szCs w:val="26"/>
        </w:rPr>
        <w:t>(Sjöstrand, 2013)</w:t>
      </w:r>
      <w:r>
        <w:rPr>
          <w:rFonts w:ascii="Times New Roman" w:hAnsi="Times New Roman" w:cs="Times New Roman"/>
          <w:noProof/>
          <w:sz w:val="26"/>
          <w:szCs w:val="26"/>
        </w:rPr>
        <w:t xml:space="preserve">. En skämtsam fråga är exempelvis om någon verkligen förstår vad beslutet att skaffa barn innebär? Trots detta anses folk i allmänhet vara beslutskompetenta att bestämma om de vill ha barn eller inte. </w:t>
      </w:r>
      <w:r w:rsidR="007A00DB">
        <w:rPr>
          <w:rFonts w:ascii="Times New Roman" w:hAnsi="Times New Roman" w:cs="Times New Roman"/>
          <w:noProof/>
          <w:sz w:val="26"/>
          <w:szCs w:val="26"/>
        </w:rPr>
        <w:t xml:space="preserve">Grundregeln är därför att människor – och därmed också patienter – ska </w:t>
      </w:r>
      <w:r>
        <w:rPr>
          <w:rFonts w:ascii="Times New Roman" w:hAnsi="Times New Roman" w:cs="Times New Roman"/>
          <w:noProof/>
          <w:sz w:val="26"/>
          <w:szCs w:val="26"/>
        </w:rPr>
        <w:t xml:space="preserve">anses vara beslutskompetenta om inget tyder på motsatsen </w:t>
      </w:r>
      <w:r w:rsidR="00466AB6" w:rsidRPr="008465F7">
        <w:rPr>
          <w:rFonts w:ascii="Times New Roman" w:hAnsi="Times New Roman" w:cs="Times New Roman"/>
          <w:noProof/>
          <w:sz w:val="26"/>
          <w:szCs w:val="26"/>
        </w:rPr>
        <w:t>(Jonsen and Siegler, 2010)</w:t>
      </w:r>
    </w:p>
    <w:p w14:paraId="503AD4E0" w14:textId="46CFD961" w:rsidR="00466AB6" w:rsidRPr="007A00DB" w:rsidRDefault="008465F7">
      <w:pPr>
        <w:rPr>
          <w:rFonts w:ascii="Times New Roman" w:hAnsi="Times New Roman" w:cs="Times New Roman"/>
          <w:sz w:val="26"/>
          <w:szCs w:val="26"/>
        </w:rPr>
      </w:pPr>
      <w:r>
        <w:rPr>
          <w:rFonts w:ascii="Times New Roman" w:hAnsi="Times New Roman" w:cs="Times New Roman"/>
          <w:sz w:val="26"/>
          <w:szCs w:val="26"/>
        </w:rPr>
        <w:t xml:space="preserve">Samtidigt anses det viktigt att vårdpersonal aktivt överväger om patienten verkligen förstår de frågor som ställs inom sjukvården. Det finns bland annat en risk att vi tror att patienter är beslutskompetenta bara för att de inte säger emot oss </w:t>
      </w:r>
      <w:r w:rsidRPr="008465F7">
        <w:rPr>
          <w:rFonts w:ascii="Times New Roman" w:hAnsi="Times New Roman" w:cs="Times New Roman"/>
          <w:noProof/>
          <w:sz w:val="26"/>
          <w:szCs w:val="26"/>
        </w:rPr>
        <w:t>(Ganzini et al., 2005)</w:t>
      </w:r>
      <w:r>
        <w:rPr>
          <w:rFonts w:ascii="Times New Roman" w:hAnsi="Times New Roman" w:cs="Times New Roman"/>
          <w:noProof/>
          <w:sz w:val="26"/>
          <w:szCs w:val="26"/>
        </w:rPr>
        <w:t xml:space="preserve">. Vidare visar empiriska studier att många allvarligt sjuka patienter åtminstone tillfälligt har nedsatt beslutskompetens </w:t>
      </w:r>
      <w:r w:rsidRPr="008465F7">
        <w:rPr>
          <w:rFonts w:ascii="Times New Roman" w:hAnsi="Times New Roman" w:cs="Times New Roman"/>
          <w:noProof/>
          <w:sz w:val="26"/>
          <w:szCs w:val="26"/>
        </w:rPr>
        <w:t>(Tonelli and Misak, 2010</w:t>
      </w:r>
      <w:r>
        <w:rPr>
          <w:rFonts w:ascii="Times New Roman" w:hAnsi="Times New Roman" w:cs="Times New Roman"/>
          <w:noProof/>
          <w:sz w:val="26"/>
          <w:szCs w:val="26"/>
        </w:rPr>
        <w:t xml:space="preserve">, Lamont et al, </w:t>
      </w:r>
      <w:r w:rsidR="007A00DB">
        <w:rPr>
          <w:rFonts w:ascii="Times New Roman" w:hAnsi="Times New Roman" w:cs="Times New Roman"/>
          <w:noProof/>
          <w:sz w:val="26"/>
          <w:szCs w:val="26"/>
        </w:rPr>
        <w:t>2013</w:t>
      </w:r>
      <w:r w:rsidRPr="008465F7">
        <w:rPr>
          <w:rFonts w:ascii="Times New Roman" w:hAnsi="Times New Roman" w:cs="Times New Roman"/>
          <w:noProof/>
          <w:sz w:val="26"/>
          <w:szCs w:val="26"/>
        </w:rPr>
        <w:t>)</w:t>
      </w:r>
      <w:r w:rsidR="007A00DB">
        <w:rPr>
          <w:rFonts w:ascii="Times New Roman" w:hAnsi="Times New Roman" w:cs="Times New Roman"/>
          <w:noProof/>
          <w:sz w:val="26"/>
          <w:szCs w:val="26"/>
        </w:rPr>
        <w:t xml:space="preserve">. I en spännande artikel om villkoren för medicinsk etik lyfter författaren till och med </w:t>
      </w:r>
      <w:r w:rsidR="007A00DB">
        <w:rPr>
          <w:rFonts w:ascii="Times New Roman" w:hAnsi="Times New Roman" w:cs="Times New Roman"/>
          <w:noProof/>
          <w:sz w:val="26"/>
          <w:szCs w:val="26"/>
        </w:rPr>
        <w:lastRenderedPageBreak/>
        <w:t>fram detta som en signifikant skillnad mellan medicinsk etik och vanlig etik – i vanliga livet har vi inte rätt att gå runt och tro att folk omkring oss kanske inte förstår innebörden av de beslut de fattar, medan vi i sjukvården har en plikt att åtminstone misstänka just detta</w:t>
      </w:r>
      <w:r w:rsidR="00466AB6" w:rsidRPr="007A00DB">
        <w:rPr>
          <w:rFonts w:ascii="Times New Roman" w:hAnsi="Times New Roman" w:cs="Times New Roman"/>
          <w:sz w:val="26"/>
          <w:szCs w:val="26"/>
        </w:rPr>
        <w:t xml:space="preserve"> </w:t>
      </w:r>
      <w:r w:rsidR="00466AB6" w:rsidRPr="007A00DB">
        <w:rPr>
          <w:rFonts w:ascii="Times New Roman" w:hAnsi="Times New Roman" w:cs="Times New Roman"/>
          <w:noProof/>
          <w:sz w:val="26"/>
          <w:szCs w:val="26"/>
        </w:rPr>
        <w:t>(Rhodes, 2019)</w:t>
      </w:r>
      <w:r w:rsidR="00466AB6" w:rsidRPr="007A00DB">
        <w:rPr>
          <w:rFonts w:ascii="Times New Roman" w:hAnsi="Times New Roman" w:cs="Times New Roman"/>
          <w:sz w:val="26"/>
          <w:szCs w:val="26"/>
        </w:rPr>
        <w:t xml:space="preserve">. </w:t>
      </w:r>
    </w:p>
    <w:p w14:paraId="78153C50" w14:textId="77777777" w:rsidR="00466AB6" w:rsidRPr="008465F7" w:rsidRDefault="00466AB6">
      <w:pPr>
        <w:rPr>
          <w:rFonts w:ascii="Times New Roman" w:hAnsi="Times New Roman" w:cs="Times New Roman"/>
          <w:sz w:val="26"/>
          <w:szCs w:val="26"/>
        </w:rPr>
      </w:pPr>
      <w:r w:rsidRPr="008465F7">
        <w:rPr>
          <w:rFonts w:ascii="Times New Roman" w:hAnsi="Times New Roman" w:cs="Times New Roman"/>
          <w:sz w:val="26"/>
          <w:szCs w:val="26"/>
        </w:rPr>
        <w:t xml:space="preserve">Slutligen brukar det allmänt anses att det finns situationer som är så banala att man helt kan strunta i frågan om beslutskompetens. Ett sådant exempel är följande: den förvirrade patienten sitter vid frukostbordet. Personalen frågar om patienten vill ha blåbärssylt eller socker på gröten. Patienten svarar blåbärssylt. Ovanstående resonemang anger att personalen i detta fall inte behöver grubbla över om patienten hade beslutskompetens nog att besvara frågan, utan helt enkelt kan servera lite blåbärssylt </w:t>
      </w:r>
      <w:r w:rsidRPr="008465F7">
        <w:rPr>
          <w:rFonts w:ascii="Times New Roman" w:hAnsi="Times New Roman" w:cs="Times New Roman"/>
          <w:noProof/>
          <w:sz w:val="26"/>
          <w:szCs w:val="26"/>
        </w:rPr>
        <w:t>(Lawlor, 2016)</w:t>
      </w:r>
      <w:r w:rsidRPr="008465F7">
        <w:rPr>
          <w:rFonts w:ascii="Times New Roman" w:hAnsi="Times New Roman" w:cs="Times New Roman"/>
          <w:sz w:val="26"/>
          <w:szCs w:val="26"/>
        </w:rPr>
        <w:t xml:space="preserve">. (Den rimliga tolkningen av detta är inte att alla har beslutskompetens nog för att besvara frågan om sylten, utan snarare att riktigt banala situationer inte ”kräver” bedömning av beslutskompetens alls, detta då (konsekvensen av) själva beslutet är så banalt att det är ok om någon fattar det även utan att ha förstått vad det hela handlar om).   </w:t>
      </w:r>
    </w:p>
    <w:p w14:paraId="61B7BEC6" w14:textId="77CC7173" w:rsidR="00466AB6" w:rsidRPr="00E221DA" w:rsidRDefault="007A0F6A" w:rsidP="007A00DB">
      <w:pPr>
        <w:rPr>
          <w:rFonts w:ascii="Times New Roman" w:hAnsi="Times New Roman" w:cs="Times New Roman"/>
          <w:sz w:val="26"/>
          <w:szCs w:val="26"/>
          <w:lang w:val="en-US"/>
        </w:rPr>
      </w:pPr>
      <w:r w:rsidRPr="00E221DA">
        <w:rPr>
          <w:rFonts w:ascii="Times New Roman" w:hAnsi="Times New Roman" w:cs="Times New Roman"/>
          <w:sz w:val="26"/>
          <w:szCs w:val="26"/>
          <w:lang w:val="en-US"/>
        </w:rPr>
        <w:t xml:space="preserve">BEDÖMNING AV </w:t>
      </w:r>
      <w:r w:rsidR="00466AB6" w:rsidRPr="00E221DA">
        <w:rPr>
          <w:rFonts w:ascii="Times New Roman" w:hAnsi="Times New Roman" w:cs="Times New Roman"/>
          <w:sz w:val="26"/>
          <w:szCs w:val="26"/>
          <w:lang w:val="en-US"/>
        </w:rPr>
        <w:t>BESLUTSKOMPETENS</w:t>
      </w:r>
    </w:p>
    <w:p w14:paraId="6298AD83" w14:textId="792948C0" w:rsidR="007A00DB" w:rsidRDefault="008465F7" w:rsidP="007A00DB">
      <w:pPr>
        <w:rPr>
          <w:rFonts w:ascii="Times New Roman" w:hAnsi="Times New Roman" w:cs="Times New Roman"/>
          <w:noProof/>
          <w:sz w:val="26"/>
          <w:szCs w:val="26"/>
        </w:rPr>
      </w:pPr>
      <w:r w:rsidRPr="00E221DA">
        <w:rPr>
          <w:rFonts w:ascii="Times New Roman" w:hAnsi="Times New Roman" w:cs="Times New Roman"/>
          <w:sz w:val="26"/>
          <w:szCs w:val="26"/>
          <w:lang w:val="en-GB"/>
        </w:rPr>
        <w:t>“</w:t>
      </w:r>
      <w:r w:rsidR="007A00DB" w:rsidRPr="00E221DA">
        <w:rPr>
          <w:rFonts w:ascii="Times New Roman" w:hAnsi="Times New Roman" w:cs="Times New Roman"/>
          <w:sz w:val="26"/>
          <w:szCs w:val="26"/>
          <w:lang w:val="en-GB"/>
        </w:rPr>
        <w:t>T</w:t>
      </w:r>
      <w:r w:rsidRPr="00E221DA">
        <w:rPr>
          <w:rFonts w:ascii="Times New Roman" w:hAnsi="Times New Roman" w:cs="Times New Roman"/>
          <w:sz w:val="26"/>
          <w:szCs w:val="26"/>
          <w:lang w:val="en-GB"/>
        </w:rPr>
        <w:t>he central test of competence is</w:t>
      </w:r>
      <w:r w:rsidRPr="008465F7">
        <w:rPr>
          <w:rFonts w:ascii="Times New Roman" w:hAnsi="Times New Roman" w:cs="Times New Roman"/>
          <w:sz w:val="26"/>
          <w:szCs w:val="26"/>
          <w:lang w:val="en-GB"/>
        </w:rPr>
        <w:t xml:space="preserve"> the evidence that a person seems to understand the nature of the issue and the consequences of the choice he or she is making</w:t>
      </w:r>
      <w:r w:rsidR="007A00DB">
        <w:rPr>
          <w:rFonts w:ascii="Times New Roman" w:hAnsi="Times New Roman" w:cs="Times New Roman"/>
          <w:sz w:val="26"/>
          <w:szCs w:val="26"/>
          <w:lang w:val="en-GB"/>
        </w:rPr>
        <w:t xml:space="preserve">” </w:t>
      </w:r>
      <w:r w:rsidRPr="008465F7">
        <w:rPr>
          <w:rFonts w:ascii="Times New Roman" w:hAnsi="Times New Roman" w:cs="Times New Roman"/>
          <w:noProof/>
          <w:sz w:val="26"/>
          <w:szCs w:val="26"/>
          <w:lang w:val="en-GB"/>
        </w:rPr>
        <w:t>(Jonsen and Siegler, 2010)</w:t>
      </w:r>
      <w:r w:rsidR="007A00DB">
        <w:rPr>
          <w:rFonts w:ascii="Times New Roman" w:hAnsi="Times New Roman" w:cs="Times New Roman"/>
          <w:noProof/>
          <w:sz w:val="26"/>
          <w:szCs w:val="26"/>
          <w:lang w:val="en-GB"/>
        </w:rPr>
        <w:t xml:space="preserve">. </w:t>
      </w:r>
      <w:r w:rsidR="007A00DB" w:rsidRPr="007A00DB">
        <w:rPr>
          <w:rFonts w:ascii="Times New Roman" w:hAnsi="Times New Roman" w:cs="Times New Roman"/>
          <w:noProof/>
          <w:sz w:val="26"/>
          <w:szCs w:val="26"/>
        </w:rPr>
        <w:t>Mycket förenklat är detta vad en bedömning av beslutskompetens han</w:t>
      </w:r>
      <w:r w:rsidR="007A00DB">
        <w:rPr>
          <w:rFonts w:ascii="Times New Roman" w:hAnsi="Times New Roman" w:cs="Times New Roman"/>
          <w:noProof/>
          <w:sz w:val="26"/>
          <w:szCs w:val="26"/>
        </w:rPr>
        <w:t xml:space="preserve">dlar om, och den kan ske antingen genom ett instrument eller organiskt under loppet av ett samtal. </w:t>
      </w:r>
      <w:r w:rsidR="007A00DB" w:rsidRPr="008465F7">
        <w:rPr>
          <w:rFonts w:ascii="Times New Roman" w:hAnsi="Times New Roman" w:cs="Times New Roman"/>
          <w:sz w:val="26"/>
          <w:szCs w:val="26"/>
        </w:rPr>
        <w:t xml:space="preserve">Tyvärr visar empiriska studier att läkare tycker att det är besvärligt </w:t>
      </w:r>
      <w:r w:rsidR="007A00DB">
        <w:rPr>
          <w:rFonts w:ascii="Times New Roman" w:hAnsi="Times New Roman" w:cs="Times New Roman"/>
          <w:sz w:val="26"/>
          <w:szCs w:val="26"/>
        </w:rPr>
        <w:t xml:space="preserve">och tidsödande </w:t>
      </w:r>
      <w:r w:rsidR="007A00DB" w:rsidRPr="008465F7">
        <w:rPr>
          <w:rFonts w:ascii="Times New Roman" w:hAnsi="Times New Roman" w:cs="Times New Roman"/>
          <w:sz w:val="26"/>
          <w:szCs w:val="26"/>
        </w:rPr>
        <w:t xml:space="preserve">att bedöma beslutskompetens  </w:t>
      </w:r>
      <w:r w:rsidR="007A00DB" w:rsidRPr="008465F7">
        <w:rPr>
          <w:rFonts w:ascii="Times New Roman" w:hAnsi="Times New Roman" w:cs="Times New Roman"/>
          <w:noProof/>
          <w:sz w:val="26"/>
          <w:szCs w:val="26"/>
        </w:rPr>
        <w:t>(Hermann et al., 2020, Penn et al., 2020)</w:t>
      </w:r>
      <w:r w:rsidR="007A00DB">
        <w:rPr>
          <w:rFonts w:ascii="Times New Roman" w:hAnsi="Times New Roman" w:cs="Times New Roman"/>
          <w:noProof/>
          <w:sz w:val="26"/>
          <w:szCs w:val="26"/>
        </w:rPr>
        <w:t xml:space="preserve">, samt att </w:t>
      </w:r>
      <w:r w:rsidR="007A00DB" w:rsidRPr="008465F7">
        <w:rPr>
          <w:rFonts w:ascii="Times New Roman" w:hAnsi="Times New Roman" w:cs="Times New Roman"/>
          <w:sz w:val="26"/>
          <w:szCs w:val="26"/>
        </w:rPr>
        <w:t>bedömning</w:t>
      </w:r>
      <w:r w:rsidR="007A00DB">
        <w:rPr>
          <w:rFonts w:ascii="Times New Roman" w:hAnsi="Times New Roman" w:cs="Times New Roman"/>
          <w:sz w:val="26"/>
          <w:szCs w:val="26"/>
        </w:rPr>
        <w:t>arna</w:t>
      </w:r>
      <w:r w:rsidR="007A00DB" w:rsidRPr="008465F7">
        <w:rPr>
          <w:rFonts w:ascii="Times New Roman" w:hAnsi="Times New Roman" w:cs="Times New Roman"/>
          <w:sz w:val="26"/>
          <w:szCs w:val="26"/>
        </w:rPr>
        <w:t xml:space="preserve"> inte </w:t>
      </w:r>
      <w:r w:rsidR="007A00DB">
        <w:rPr>
          <w:rFonts w:ascii="Times New Roman" w:hAnsi="Times New Roman" w:cs="Times New Roman"/>
          <w:sz w:val="26"/>
          <w:szCs w:val="26"/>
        </w:rPr>
        <w:t xml:space="preserve">blir </w:t>
      </w:r>
      <w:r w:rsidR="007A00DB" w:rsidRPr="008465F7">
        <w:rPr>
          <w:rFonts w:ascii="Times New Roman" w:hAnsi="Times New Roman" w:cs="Times New Roman"/>
          <w:sz w:val="26"/>
          <w:szCs w:val="26"/>
        </w:rPr>
        <w:t>neutral</w:t>
      </w:r>
      <w:r w:rsidR="007A00DB">
        <w:rPr>
          <w:rFonts w:ascii="Times New Roman" w:hAnsi="Times New Roman" w:cs="Times New Roman"/>
          <w:sz w:val="26"/>
          <w:szCs w:val="26"/>
        </w:rPr>
        <w:t xml:space="preserve"> (varken om de utförs med eller utan instrument)</w:t>
      </w:r>
      <w:r w:rsidR="007A00DB" w:rsidRPr="008465F7">
        <w:rPr>
          <w:rFonts w:ascii="Times New Roman" w:hAnsi="Times New Roman" w:cs="Times New Roman"/>
          <w:sz w:val="26"/>
          <w:szCs w:val="26"/>
        </w:rPr>
        <w:t xml:space="preserve">, utan </w:t>
      </w:r>
      <w:r w:rsidR="007A00DB">
        <w:rPr>
          <w:rFonts w:ascii="Times New Roman" w:hAnsi="Times New Roman" w:cs="Times New Roman"/>
          <w:sz w:val="26"/>
          <w:szCs w:val="26"/>
        </w:rPr>
        <w:t>påverkas av undersökarens</w:t>
      </w:r>
      <w:r w:rsidR="007A00DB" w:rsidRPr="008465F7">
        <w:rPr>
          <w:rFonts w:ascii="Times New Roman" w:hAnsi="Times New Roman" w:cs="Times New Roman"/>
          <w:sz w:val="26"/>
          <w:szCs w:val="26"/>
        </w:rPr>
        <w:t xml:space="preserve"> egna värde</w:t>
      </w:r>
      <w:r w:rsidR="007A00DB">
        <w:rPr>
          <w:rFonts w:ascii="Times New Roman" w:hAnsi="Times New Roman" w:cs="Times New Roman"/>
          <w:sz w:val="26"/>
          <w:szCs w:val="26"/>
        </w:rPr>
        <w:t>ringar</w:t>
      </w:r>
      <w:r w:rsidR="007A00DB" w:rsidRPr="008465F7">
        <w:rPr>
          <w:rFonts w:ascii="Times New Roman" w:hAnsi="Times New Roman" w:cs="Times New Roman"/>
          <w:sz w:val="26"/>
          <w:szCs w:val="26"/>
        </w:rPr>
        <w:t xml:space="preserve"> </w:t>
      </w:r>
      <w:r w:rsidR="007A00DB" w:rsidRPr="008465F7">
        <w:rPr>
          <w:rFonts w:ascii="Times New Roman" w:hAnsi="Times New Roman" w:cs="Times New Roman"/>
          <w:noProof/>
          <w:sz w:val="26"/>
          <w:szCs w:val="26"/>
        </w:rPr>
        <w:t>(Hermann et al., 2020)</w:t>
      </w:r>
    </w:p>
    <w:p w14:paraId="4A589661" w14:textId="50AB6F2C" w:rsidR="007A00DB" w:rsidRDefault="007A00DB" w:rsidP="007A00DB">
      <w:pPr>
        <w:rPr>
          <w:rFonts w:ascii="Times New Roman" w:hAnsi="Times New Roman" w:cs="Times New Roman"/>
          <w:noProof/>
          <w:sz w:val="26"/>
          <w:szCs w:val="26"/>
        </w:rPr>
      </w:pPr>
      <w:r>
        <w:rPr>
          <w:rFonts w:ascii="Times New Roman" w:hAnsi="Times New Roman" w:cs="Times New Roman"/>
          <w:noProof/>
          <w:sz w:val="26"/>
          <w:szCs w:val="26"/>
        </w:rPr>
        <w:t xml:space="preserve">Som antytts ovan måste beslutskompetens avgöras i relation till en specifik fråga (kan patienten fatta beslut avseende just detta?). Vidare får man anta att beslutskapaciteten är variabel över tid. Av bland annat dessa skäl är det orimligt att förvänta sig att sjukvården ska kunna ha en beslutskompetens-bedömning tillhanda vid varje möjlig beslutssituation som involverar patienten och hennes avgivna åsikt. Det blir därför en grannlaga fråga av etisk relevans att bedöma när en bedömning av beslutskompetens ska ske. </w:t>
      </w:r>
    </w:p>
    <w:p w14:paraId="29CFC30B" w14:textId="39137D82" w:rsidR="008465F7" w:rsidRPr="00347803" w:rsidRDefault="007A00DB" w:rsidP="007A00DB">
      <w:pPr>
        <w:rPr>
          <w:rFonts w:ascii="Times New Roman" w:hAnsi="Times New Roman" w:cs="Times New Roman"/>
          <w:sz w:val="26"/>
          <w:szCs w:val="26"/>
        </w:rPr>
      </w:pPr>
      <w:r w:rsidRPr="00347803">
        <w:rPr>
          <w:rFonts w:ascii="Times New Roman" w:hAnsi="Times New Roman" w:cs="Times New Roman"/>
          <w:sz w:val="26"/>
          <w:szCs w:val="26"/>
        </w:rPr>
        <w:t>Ett sätt att utveckla den mycket sammanfattade modellen ovan är att säga att beslutskapacitet förutsätte</w:t>
      </w:r>
      <w:r w:rsidR="007A0F6A" w:rsidRPr="00347803">
        <w:rPr>
          <w:rFonts w:ascii="Times New Roman" w:hAnsi="Times New Roman" w:cs="Times New Roman"/>
          <w:sz w:val="26"/>
          <w:szCs w:val="26"/>
        </w:rPr>
        <w:t>r</w:t>
      </w:r>
      <w:r w:rsidRPr="00347803">
        <w:rPr>
          <w:rFonts w:ascii="Times New Roman" w:hAnsi="Times New Roman" w:cs="Times New Roman"/>
          <w:sz w:val="26"/>
          <w:szCs w:val="26"/>
        </w:rPr>
        <w:t xml:space="preserve"> fyra nyckel-kapaciteter:</w:t>
      </w:r>
      <w:r w:rsidR="007A0F6A" w:rsidRPr="00347803">
        <w:rPr>
          <w:rFonts w:ascii="Times New Roman" w:hAnsi="Times New Roman" w:cs="Times New Roman"/>
          <w:sz w:val="26"/>
          <w:szCs w:val="26"/>
        </w:rPr>
        <w:t xml:space="preserve"> förståelse, erkännande, resonemang och v</w:t>
      </w:r>
      <w:r w:rsidR="00347803">
        <w:rPr>
          <w:rFonts w:ascii="Times New Roman" w:hAnsi="Times New Roman" w:cs="Times New Roman"/>
          <w:sz w:val="26"/>
          <w:szCs w:val="26"/>
        </w:rPr>
        <w:t>ärdera</w:t>
      </w:r>
      <w:r w:rsidR="007A0F6A" w:rsidRPr="00347803">
        <w:rPr>
          <w:rFonts w:ascii="Times New Roman" w:hAnsi="Times New Roman" w:cs="Times New Roman"/>
          <w:sz w:val="26"/>
          <w:szCs w:val="26"/>
        </w:rPr>
        <w:t xml:space="preserve"> (förkortningen FERV har använts (Pedersen, 2020))</w:t>
      </w:r>
      <w:r w:rsidR="00347803" w:rsidRPr="00347803">
        <w:rPr>
          <w:rFonts w:ascii="Times New Roman" w:hAnsi="Times New Roman" w:cs="Times New Roman"/>
          <w:sz w:val="26"/>
          <w:szCs w:val="26"/>
        </w:rPr>
        <w:t xml:space="preserve">. I nedanstående tabell ges en förklaring av dessa begrepp, kort information om hur de kan testas och några kommentarer. Information i tabellen kommer från </w:t>
      </w:r>
      <w:r w:rsidR="00347803" w:rsidRPr="00347803">
        <w:rPr>
          <w:rFonts w:ascii="Times New Roman" w:hAnsi="Times New Roman" w:cs="Times New Roman"/>
          <w:noProof/>
          <w:sz w:val="26"/>
          <w:szCs w:val="26"/>
        </w:rPr>
        <w:t>Lamont et al, 2013</w:t>
      </w:r>
      <w:r w:rsidR="00347803" w:rsidRPr="00347803">
        <w:rPr>
          <w:rFonts w:ascii="Times New Roman" w:hAnsi="Times New Roman" w:cs="Times New Roman"/>
          <w:noProof/>
          <w:sz w:val="26"/>
          <w:szCs w:val="26"/>
        </w:rPr>
        <w:t xml:space="preserve">, </w:t>
      </w:r>
      <w:r w:rsidR="00347803" w:rsidRPr="00347803">
        <w:rPr>
          <w:rFonts w:ascii="Times New Roman" w:hAnsi="Times New Roman" w:cs="Times New Roman"/>
          <w:sz w:val="26"/>
          <w:szCs w:val="26"/>
        </w:rPr>
        <w:t>Pedersen, 2020)</w:t>
      </w:r>
      <w:r w:rsidR="00347803" w:rsidRPr="00347803">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2369"/>
        <w:gridCol w:w="2728"/>
        <w:gridCol w:w="2223"/>
        <w:gridCol w:w="1696"/>
      </w:tblGrid>
      <w:tr w:rsidR="00347803" w:rsidRPr="00347803" w14:paraId="2A43CF61" w14:textId="77777777" w:rsidTr="0039412C">
        <w:tc>
          <w:tcPr>
            <w:tcW w:w="2369" w:type="dxa"/>
          </w:tcPr>
          <w:p w14:paraId="021DDE86" w14:textId="77777777" w:rsidR="00347803" w:rsidRPr="00347803" w:rsidRDefault="00347803" w:rsidP="00347803">
            <w:pPr>
              <w:rPr>
                <w:rFonts w:eastAsia="Calibri" w:cs="Times New Roman"/>
              </w:rPr>
            </w:pPr>
            <w:r w:rsidRPr="00347803">
              <w:rPr>
                <w:rFonts w:eastAsia="Calibri" w:cs="Times New Roman"/>
              </w:rPr>
              <w:t>Kapacitet</w:t>
            </w:r>
          </w:p>
        </w:tc>
        <w:tc>
          <w:tcPr>
            <w:tcW w:w="2728" w:type="dxa"/>
          </w:tcPr>
          <w:p w14:paraId="4EEE7BB8" w14:textId="77777777" w:rsidR="00347803" w:rsidRPr="00347803" w:rsidRDefault="00347803" w:rsidP="00347803">
            <w:pPr>
              <w:rPr>
                <w:rFonts w:eastAsia="Calibri" w:cs="Times New Roman"/>
              </w:rPr>
            </w:pPr>
            <w:r w:rsidRPr="00347803">
              <w:rPr>
                <w:rFonts w:eastAsia="Calibri" w:cs="Times New Roman"/>
              </w:rPr>
              <w:t>Innebörd</w:t>
            </w:r>
          </w:p>
        </w:tc>
        <w:tc>
          <w:tcPr>
            <w:tcW w:w="2223" w:type="dxa"/>
          </w:tcPr>
          <w:p w14:paraId="2E0D0ECD" w14:textId="77777777" w:rsidR="00347803" w:rsidRPr="00347803" w:rsidRDefault="00347803" w:rsidP="00347803">
            <w:pPr>
              <w:rPr>
                <w:rFonts w:eastAsia="Calibri" w:cs="Times New Roman"/>
              </w:rPr>
            </w:pPr>
            <w:r w:rsidRPr="00347803">
              <w:rPr>
                <w:rFonts w:eastAsia="Calibri" w:cs="Times New Roman"/>
              </w:rPr>
              <w:t>Testas genom (exempelvis)</w:t>
            </w:r>
          </w:p>
        </w:tc>
        <w:tc>
          <w:tcPr>
            <w:tcW w:w="1696" w:type="dxa"/>
          </w:tcPr>
          <w:p w14:paraId="45FD877E" w14:textId="77777777" w:rsidR="00347803" w:rsidRPr="00347803" w:rsidRDefault="00347803" w:rsidP="00347803">
            <w:pPr>
              <w:rPr>
                <w:rFonts w:eastAsia="Calibri" w:cs="Times New Roman"/>
              </w:rPr>
            </w:pPr>
            <w:r w:rsidRPr="00347803">
              <w:rPr>
                <w:rFonts w:eastAsia="Calibri" w:cs="Times New Roman"/>
              </w:rPr>
              <w:t>Kommentar</w:t>
            </w:r>
          </w:p>
        </w:tc>
      </w:tr>
      <w:tr w:rsidR="00347803" w:rsidRPr="00347803" w14:paraId="3668B468" w14:textId="77777777" w:rsidTr="0039412C">
        <w:tc>
          <w:tcPr>
            <w:tcW w:w="2369" w:type="dxa"/>
          </w:tcPr>
          <w:p w14:paraId="06779794" w14:textId="77777777" w:rsidR="00347803" w:rsidRPr="00347803" w:rsidRDefault="00347803" w:rsidP="00347803">
            <w:pPr>
              <w:rPr>
                <w:rFonts w:eastAsia="Calibri" w:cs="Times New Roman"/>
              </w:rPr>
            </w:pPr>
            <w:r w:rsidRPr="00347803">
              <w:rPr>
                <w:rFonts w:eastAsia="Calibri" w:cs="Times New Roman"/>
              </w:rPr>
              <w:lastRenderedPageBreak/>
              <w:t>Förstå (understanding)</w:t>
            </w:r>
          </w:p>
        </w:tc>
        <w:tc>
          <w:tcPr>
            <w:tcW w:w="2728" w:type="dxa"/>
          </w:tcPr>
          <w:p w14:paraId="34FECC5A" w14:textId="77777777" w:rsidR="00347803" w:rsidRPr="00347803" w:rsidRDefault="00347803" w:rsidP="00347803">
            <w:pPr>
              <w:rPr>
                <w:rFonts w:eastAsia="Calibri" w:cs="Times New Roman"/>
              </w:rPr>
            </w:pPr>
            <w:r w:rsidRPr="00347803">
              <w:rPr>
                <w:rFonts w:eastAsia="Calibri" w:cs="Times New Roman"/>
              </w:rPr>
              <w:t>Patienten måste förstå information kring tillståndet och möjlig behandling</w:t>
            </w:r>
          </w:p>
        </w:tc>
        <w:tc>
          <w:tcPr>
            <w:tcW w:w="2223" w:type="dxa"/>
          </w:tcPr>
          <w:p w14:paraId="2DF26C64" w14:textId="77777777" w:rsidR="00347803" w:rsidRPr="00347803" w:rsidRDefault="00347803" w:rsidP="00347803">
            <w:pPr>
              <w:rPr>
                <w:rFonts w:eastAsia="Calibri" w:cs="Times New Roman"/>
              </w:rPr>
            </w:pPr>
            <w:r w:rsidRPr="00347803">
              <w:rPr>
                <w:rFonts w:eastAsia="Calibri" w:cs="Times New Roman"/>
              </w:rPr>
              <w:t>Be patienten återberätta vad hon hört och förstått</w:t>
            </w:r>
          </w:p>
        </w:tc>
        <w:tc>
          <w:tcPr>
            <w:tcW w:w="1696" w:type="dxa"/>
          </w:tcPr>
          <w:p w14:paraId="48350E0C" w14:textId="77777777" w:rsidR="00347803" w:rsidRPr="00347803" w:rsidRDefault="00347803" w:rsidP="00347803">
            <w:pPr>
              <w:rPr>
                <w:rFonts w:eastAsia="Calibri" w:cs="Times New Roman"/>
              </w:rPr>
            </w:pPr>
            <w:r w:rsidRPr="00347803">
              <w:rPr>
                <w:rFonts w:eastAsia="Calibri" w:cs="Times New Roman"/>
              </w:rPr>
              <w:t>Risk att detta fäster för stor vikt vid minne, som inte är samma sak som förståelse</w:t>
            </w:r>
          </w:p>
        </w:tc>
      </w:tr>
      <w:tr w:rsidR="00347803" w:rsidRPr="00347803" w14:paraId="1AA675F4" w14:textId="77777777" w:rsidTr="0039412C">
        <w:tc>
          <w:tcPr>
            <w:tcW w:w="2369" w:type="dxa"/>
          </w:tcPr>
          <w:p w14:paraId="69DDCFA6" w14:textId="77777777" w:rsidR="00347803" w:rsidRPr="00347803" w:rsidRDefault="00347803" w:rsidP="00347803">
            <w:pPr>
              <w:rPr>
                <w:rFonts w:eastAsia="Calibri" w:cs="Times New Roman"/>
              </w:rPr>
            </w:pPr>
            <w:r w:rsidRPr="00347803">
              <w:rPr>
                <w:rFonts w:eastAsia="Calibri" w:cs="Times New Roman"/>
              </w:rPr>
              <w:t xml:space="preserve">Erkänna (appreciation) </w:t>
            </w:r>
          </w:p>
        </w:tc>
        <w:tc>
          <w:tcPr>
            <w:tcW w:w="2728" w:type="dxa"/>
          </w:tcPr>
          <w:p w14:paraId="7D73F349" w14:textId="77777777" w:rsidR="00347803" w:rsidRPr="00347803" w:rsidRDefault="00347803" w:rsidP="00347803">
            <w:pPr>
              <w:rPr>
                <w:rFonts w:eastAsia="Calibri" w:cs="Times New Roman"/>
              </w:rPr>
            </w:pPr>
            <w:r w:rsidRPr="00347803">
              <w:rPr>
                <w:rFonts w:eastAsia="Calibri" w:cs="Times New Roman"/>
              </w:rPr>
              <w:t>Patienten måste kunna utvärdera informationen inklusive erkänna att informationen har betydelse för dem.</w:t>
            </w:r>
          </w:p>
        </w:tc>
        <w:tc>
          <w:tcPr>
            <w:tcW w:w="2223" w:type="dxa"/>
          </w:tcPr>
          <w:p w14:paraId="64492B82" w14:textId="77777777" w:rsidR="00347803" w:rsidRPr="00347803" w:rsidRDefault="00347803" w:rsidP="00347803">
            <w:pPr>
              <w:rPr>
                <w:rFonts w:eastAsia="Calibri" w:cs="Times New Roman"/>
              </w:rPr>
            </w:pPr>
            <w:r w:rsidRPr="00347803">
              <w:rPr>
                <w:rFonts w:eastAsia="Calibri" w:cs="Times New Roman"/>
              </w:rPr>
              <w:t xml:space="preserve">Be patienten berätta med egna ord vad olika alternativ skulle innebära för dem. Be patienten värdera sannolikhet och trovärdighet hos informationen. </w:t>
            </w:r>
          </w:p>
        </w:tc>
        <w:tc>
          <w:tcPr>
            <w:tcW w:w="1696" w:type="dxa"/>
          </w:tcPr>
          <w:p w14:paraId="6616FAF5" w14:textId="77777777" w:rsidR="00347803" w:rsidRPr="00347803" w:rsidRDefault="00347803" w:rsidP="00347803">
            <w:pPr>
              <w:rPr>
                <w:rFonts w:eastAsia="Calibri" w:cs="Times New Roman"/>
              </w:rPr>
            </w:pPr>
            <w:r w:rsidRPr="00347803">
              <w:rPr>
                <w:rFonts w:eastAsia="Calibri" w:cs="Times New Roman"/>
              </w:rPr>
              <w:t>Spretigt i olika modeller hur denna kapacitet definieras och testas!</w:t>
            </w:r>
          </w:p>
        </w:tc>
      </w:tr>
      <w:tr w:rsidR="00347803" w:rsidRPr="00347803" w14:paraId="5EA8BC1D" w14:textId="77777777" w:rsidTr="0039412C">
        <w:tc>
          <w:tcPr>
            <w:tcW w:w="2369" w:type="dxa"/>
          </w:tcPr>
          <w:p w14:paraId="7F07C929" w14:textId="77777777" w:rsidR="00347803" w:rsidRPr="00347803" w:rsidRDefault="00347803" w:rsidP="00347803">
            <w:pPr>
              <w:rPr>
                <w:rFonts w:eastAsia="Calibri" w:cs="Times New Roman"/>
              </w:rPr>
            </w:pPr>
            <w:r w:rsidRPr="00347803">
              <w:rPr>
                <w:rFonts w:eastAsia="Calibri" w:cs="Times New Roman"/>
              </w:rPr>
              <w:t>Resonera (reasoning)</w:t>
            </w:r>
          </w:p>
        </w:tc>
        <w:tc>
          <w:tcPr>
            <w:tcW w:w="2728" w:type="dxa"/>
          </w:tcPr>
          <w:p w14:paraId="68BD1A96" w14:textId="77777777" w:rsidR="00347803" w:rsidRPr="00347803" w:rsidRDefault="00347803" w:rsidP="00347803">
            <w:pPr>
              <w:rPr>
                <w:rFonts w:eastAsia="Calibri" w:cs="Times New Roman"/>
              </w:rPr>
            </w:pPr>
            <w:r w:rsidRPr="00347803">
              <w:rPr>
                <w:rFonts w:eastAsia="Calibri" w:cs="Times New Roman"/>
              </w:rPr>
              <w:t>Patienten måste kunna utvärdera olika behandlingsalternativ inklusive vilka konsekvenserna skulle vara för dem i deras liv</w:t>
            </w:r>
          </w:p>
        </w:tc>
        <w:tc>
          <w:tcPr>
            <w:tcW w:w="2223" w:type="dxa"/>
          </w:tcPr>
          <w:p w14:paraId="39B1CD86" w14:textId="77777777" w:rsidR="00347803" w:rsidRPr="00347803" w:rsidRDefault="00347803" w:rsidP="00347803">
            <w:pPr>
              <w:rPr>
                <w:rFonts w:eastAsia="Calibri" w:cs="Times New Roman"/>
              </w:rPr>
            </w:pPr>
            <w:r w:rsidRPr="00347803">
              <w:rPr>
                <w:rFonts w:eastAsia="Calibri" w:cs="Times New Roman"/>
              </w:rPr>
              <w:t>Be patienten utveckla sitt resonemang så att det blir tydligt om detta hänger ihop så att argument leder till slutsats på ett rimligt sätt</w:t>
            </w:r>
          </w:p>
        </w:tc>
        <w:tc>
          <w:tcPr>
            <w:tcW w:w="1696" w:type="dxa"/>
          </w:tcPr>
          <w:p w14:paraId="75267022" w14:textId="77777777" w:rsidR="00347803" w:rsidRPr="00347803" w:rsidRDefault="00347803" w:rsidP="00347803">
            <w:pPr>
              <w:rPr>
                <w:rFonts w:eastAsia="Calibri" w:cs="Times New Roman"/>
              </w:rPr>
            </w:pPr>
          </w:p>
        </w:tc>
      </w:tr>
      <w:tr w:rsidR="00347803" w:rsidRPr="00347803" w14:paraId="65BB5D5D" w14:textId="77777777" w:rsidTr="0039412C">
        <w:tc>
          <w:tcPr>
            <w:tcW w:w="2369" w:type="dxa"/>
          </w:tcPr>
          <w:p w14:paraId="0A4596CE" w14:textId="77777777" w:rsidR="00347803" w:rsidRPr="00347803" w:rsidRDefault="00347803" w:rsidP="00347803">
            <w:pPr>
              <w:rPr>
                <w:rFonts w:eastAsia="Calibri" w:cs="Times New Roman"/>
              </w:rPr>
            </w:pPr>
            <w:r w:rsidRPr="00347803">
              <w:rPr>
                <w:rFonts w:eastAsia="Calibri" w:cs="Times New Roman"/>
              </w:rPr>
              <w:t>Värdera (expression of choice)</w:t>
            </w:r>
          </w:p>
        </w:tc>
        <w:tc>
          <w:tcPr>
            <w:tcW w:w="2728" w:type="dxa"/>
          </w:tcPr>
          <w:p w14:paraId="2AB71063" w14:textId="77777777" w:rsidR="00347803" w:rsidRPr="00347803" w:rsidRDefault="00347803" w:rsidP="00347803">
            <w:pPr>
              <w:rPr>
                <w:rFonts w:eastAsia="Calibri" w:cs="Times New Roman"/>
              </w:rPr>
            </w:pPr>
            <w:r w:rsidRPr="00347803">
              <w:rPr>
                <w:rFonts w:eastAsia="Calibri" w:cs="Times New Roman"/>
              </w:rPr>
              <w:t>Patienten måste kunna uttrycka sin åsikt avseende behandlingsalternativen</w:t>
            </w:r>
          </w:p>
        </w:tc>
        <w:tc>
          <w:tcPr>
            <w:tcW w:w="2223" w:type="dxa"/>
          </w:tcPr>
          <w:p w14:paraId="4BFC7E9B" w14:textId="77777777" w:rsidR="00347803" w:rsidRPr="00347803" w:rsidRDefault="00347803" w:rsidP="00347803">
            <w:pPr>
              <w:rPr>
                <w:rFonts w:eastAsia="Calibri" w:cs="Times New Roman"/>
              </w:rPr>
            </w:pPr>
            <w:r w:rsidRPr="00347803">
              <w:rPr>
                <w:rFonts w:eastAsia="Calibri" w:cs="Times New Roman"/>
              </w:rPr>
              <w:t>Be patienten uttrycka vilket av handlingsalternativen som verkar bäst. (OBS: patienten måste inte bestämma, det kan också vara ett rimligt handlingsalterantiv att be om mer tid eller överlåta beslutet på någon annan!)</w:t>
            </w:r>
          </w:p>
        </w:tc>
        <w:tc>
          <w:tcPr>
            <w:tcW w:w="1696" w:type="dxa"/>
          </w:tcPr>
          <w:p w14:paraId="3091D594" w14:textId="77777777" w:rsidR="00347803" w:rsidRPr="00347803" w:rsidRDefault="00347803" w:rsidP="00347803">
            <w:pPr>
              <w:rPr>
                <w:rFonts w:eastAsia="Calibri" w:cs="Times New Roman"/>
              </w:rPr>
            </w:pPr>
            <w:r w:rsidRPr="00347803">
              <w:rPr>
                <w:rFonts w:eastAsia="Calibri" w:cs="Times New Roman"/>
              </w:rPr>
              <w:t>Denna kapacitet anses enklast att förstå och bedöma</w:t>
            </w:r>
          </w:p>
        </w:tc>
      </w:tr>
    </w:tbl>
    <w:p w14:paraId="4E2A75A4" w14:textId="50EC5578" w:rsidR="007A00DB" w:rsidRPr="00347803" w:rsidRDefault="007A00DB" w:rsidP="007A00DB">
      <w:pPr>
        <w:rPr>
          <w:rFonts w:ascii="Times New Roman" w:hAnsi="Times New Roman" w:cs="Times New Roman"/>
          <w:sz w:val="26"/>
          <w:szCs w:val="26"/>
        </w:rPr>
      </w:pPr>
    </w:p>
    <w:p w14:paraId="1597CF76" w14:textId="5C1BB2A7" w:rsidR="00347803" w:rsidRPr="00347803" w:rsidRDefault="00347803" w:rsidP="007A00DB">
      <w:pPr>
        <w:rPr>
          <w:rFonts w:ascii="Times New Roman" w:hAnsi="Times New Roman" w:cs="Times New Roman"/>
          <w:sz w:val="26"/>
          <w:szCs w:val="26"/>
          <w:lang w:val="en-US"/>
        </w:rPr>
      </w:pPr>
      <w:r w:rsidRPr="00347803">
        <w:rPr>
          <w:rFonts w:ascii="Times New Roman" w:hAnsi="Times New Roman" w:cs="Times New Roman"/>
          <w:sz w:val="26"/>
          <w:szCs w:val="26"/>
        </w:rPr>
        <w:t xml:space="preserve">Brister i en eller flera av ovanstående kompetenser innebär att patienten INTE är beslutskompetent avseende det aktuella beslutet. </w:t>
      </w:r>
      <w:r w:rsidRPr="00347803">
        <w:rPr>
          <w:rFonts w:ascii="Times New Roman" w:hAnsi="Times New Roman" w:cs="Times New Roman"/>
          <w:sz w:val="26"/>
          <w:szCs w:val="26"/>
          <w:lang w:val="en-US"/>
        </w:rPr>
        <w:t xml:space="preserve">The Mental Capacity Act </w:t>
      </w:r>
      <w:proofErr w:type="spellStart"/>
      <w:r w:rsidRPr="00347803">
        <w:rPr>
          <w:rFonts w:ascii="Times New Roman" w:hAnsi="Times New Roman" w:cs="Times New Roman"/>
          <w:sz w:val="26"/>
          <w:szCs w:val="26"/>
          <w:lang w:val="en-US"/>
        </w:rPr>
        <w:t>i</w:t>
      </w:r>
      <w:proofErr w:type="spellEnd"/>
      <w:r w:rsidRPr="00347803">
        <w:rPr>
          <w:rFonts w:ascii="Times New Roman" w:hAnsi="Times New Roman" w:cs="Times New Roman"/>
          <w:sz w:val="26"/>
          <w:szCs w:val="26"/>
          <w:lang w:val="en-US"/>
        </w:rPr>
        <w:t xml:space="preserve"> England </w:t>
      </w:r>
      <w:proofErr w:type="spellStart"/>
      <w:r w:rsidRPr="00347803">
        <w:rPr>
          <w:rFonts w:ascii="Times New Roman" w:hAnsi="Times New Roman" w:cs="Times New Roman"/>
          <w:sz w:val="26"/>
          <w:szCs w:val="26"/>
          <w:lang w:val="en-US"/>
        </w:rPr>
        <w:t>uttrycker</w:t>
      </w:r>
      <w:proofErr w:type="spellEnd"/>
      <w:r w:rsidRPr="00347803">
        <w:rPr>
          <w:rFonts w:ascii="Times New Roman" w:hAnsi="Times New Roman" w:cs="Times New Roman"/>
          <w:sz w:val="26"/>
          <w:szCs w:val="26"/>
          <w:lang w:val="en-US"/>
        </w:rPr>
        <w:t xml:space="preserve"> </w:t>
      </w:r>
      <w:proofErr w:type="spellStart"/>
      <w:r w:rsidRPr="00347803">
        <w:rPr>
          <w:rFonts w:ascii="Times New Roman" w:hAnsi="Times New Roman" w:cs="Times New Roman"/>
          <w:sz w:val="26"/>
          <w:szCs w:val="26"/>
          <w:lang w:val="en-US"/>
        </w:rPr>
        <w:t>saken</w:t>
      </w:r>
      <w:proofErr w:type="spellEnd"/>
      <w:r w:rsidRPr="00347803">
        <w:rPr>
          <w:rFonts w:ascii="Times New Roman" w:hAnsi="Times New Roman" w:cs="Times New Roman"/>
          <w:sz w:val="26"/>
          <w:szCs w:val="26"/>
          <w:lang w:val="en-US"/>
        </w:rPr>
        <w:t xml:space="preserve"> </w:t>
      </w:r>
      <w:proofErr w:type="spellStart"/>
      <w:r w:rsidRPr="00347803">
        <w:rPr>
          <w:rFonts w:ascii="Times New Roman" w:hAnsi="Times New Roman" w:cs="Times New Roman"/>
          <w:sz w:val="26"/>
          <w:szCs w:val="26"/>
          <w:lang w:val="en-US"/>
        </w:rPr>
        <w:t>så</w:t>
      </w:r>
      <w:proofErr w:type="spellEnd"/>
      <w:r w:rsidRPr="00347803">
        <w:rPr>
          <w:rFonts w:ascii="Times New Roman" w:hAnsi="Times New Roman" w:cs="Times New Roman"/>
          <w:sz w:val="26"/>
          <w:szCs w:val="26"/>
          <w:lang w:val="en-US"/>
        </w:rPr>
        <w:t xml:space="preserve"> </w:t>
      </w:r>
      <w:proofErr w:type="spellStart"/>
      <w:r w:rsidRPr="00347803">
        <w:rPr>
          <w:rFonts w:ascii="Times New Roman" w:hAnsi="Times New Roman" w:cs="Times New Roman"/>
          <w:sz w:val="26"/>
          <w:szCs w:val="26"/>
          <w:lang w:val="en-US"/>
        </w:rPr>
        <w:t>här</w:t>
      </w:r>
      <w:proofErr w:type="spellEnd"/>
      <w:r w:rsidRPr="00347803">
        <w:rPr>
          <w:rFonts w:ascii="Times New Roman" w:hAnsi="Times New Roman" w:cs="Times New Roman"/>
          <w:sz w:val="26"/>
          <w:szCs w:val="26"/>
          <w:lang w:val="en-US"/>
        </w:rPr>
        <w:t xml:space="preserve">: </w:t>
      </w:r>
    </w:p>
    <w:p w14:paraId="4B3E594C" w14:textId="2DA18A49" w:rsidR="00466AB6" w:rsidRPr="00347803" w:rsidRDefault="00466AB6" w:rsidP="007A00DB">
      <w:pPr>
        <w:autoSpaceDE w:val="0"/>
        <w:autoSpaceDN w:val="0"/>
        <w:adjustRightInd w:val="0"/>
        <w:spacing w:after="0" w:line="240" w:lineRule="auto"/>
        <w:rPr>
          <w:rFonts w:ascii="Times New Roman" w:hAnsi="Times New Roman" w:cs="Times New Roman"/>
          <w:sz w:val="26"/>
          <w:szCs w:val="26"/>
          <w:lang w:val="en-GB"/>
        </w:rPr>
      </w:pPr>
      <w:r w:rsidRPr="00347803">
        <w:rPr>
          <w:rFonts w:ascii="Times New Roman" w:hAnsi="Times New Roman" w:cs="Times New Roman"/>
          <w:sz w:val="26"/>
          <w:szCs w:val="26"/>
          <w:lang w:val="en-GB"/>
        </w:rPr>
        <w:t xml:space="preserve">a person is unable to </w:t>
      </w:r>
      <w:proofErr w:type="gramStart"/>
      <w:r w:rsidRPr="00347803">
        <w:rPr>
          <w:rFonts w:ascii="Times New Roman" w:hAnsi="Times New Roman" w:cs="Times New Roman"/>
          <w:sz w:val="26"/>
          <w:szCs w:val="26"/>
          <w:lang w:val="en-GB"/>
        </w:rPr>
        <w:t>make a decision</w:t>
      </w:r>
      <w:proofErr w:type="gramEnd"/>
      <w:r w:rsidRPr="00347803">
        <w:rPr>
          <w:rFonts w:ascii="Times New Roman" w:hAnsi="Times New Roman" w:cs="Times New Roman"/>
          <w:sz w:val="26"/>
          <w:szCs w:val="26"/>
          <w:lang w:val="en-GB"/>
        </w:rPr>
        <w:t xml:space="preserve"> for himself if he is unable—</w:t>
      </w:r>
    </w:p>
    <w:p w14:paraId="31F4870F" w14:textId="77777777" w:rsidR="00466AB6" w:rsidRPr="00347803" w:rsidRDefault="00466AB6" w:rsidP="007A00DB">
      <w:pPr>
        <w:autoSpaceDE w:val="0"/>
        <w:autoSpaceDN w:val="0"/>
        <w:adjustRightInd w:val="0"/>
        <w:spacing w:after="0" w:line="240" w:lineRule="auto"/>
        <w:rPr>
          <w:rFonts w:ascii="Times New Roman" w:hAnsi="Times New Roman" w:cs="Times New Roman"/>
          <w:sz w:val="26"/>
          <w:szCs w:val="26"/>
          <w:lang w:val="en-GB"/>
        </w:rPr>
      </w:pPr>
      <w:r w:rsidRPr="00347803">
        <w:rPr>
          <w:rFonts w:ascii="Times New Roman" w:hAnsi="Times New Roman" w:cs="Times New Roman"/>
          <w:sz w:val="26"/>
          <w:szCs w:val="26"/>
          <w:lang w:val="en-GB"/>
        </w:rPr>
        <w:t>(a)to understand the information relevant to the decision,</w:t>
      </w:r>
    </w:p>
    <w:p w14:paraId="0CEE2B1C" w14:textId="77777777" w:rsidR="00466AB6" w:rsidRPr="00347803" w:rsidRDefault="00466AB6" w:rsidP="007A00DB">
      <w:pPr>
        <w:autoSpaceDE w:val="0"/>
        <w:autoSpaceDN w:val="0"/>
        <w:adjustRightInd w:val="0"/>
        <w:spacing w:after="0" w:line="240" w:lineRule="auto"/>
        <w:rPr>
          <w:rFonts w:ascii="Times New Roman" w:hAnsi="Times New Roman" w:cs="Times New Roman"/>
          <w:sz w:val="26"/>
          <w:szCs w:val="26"/>
          <w:lang w:val="en-GB"/>
        </w:rPr>
      </w:pPr>
      <w:r w:rsidRPr="00347803">
        <w:rPr>
          <w:rFonts w:ascii="Times New Roman" w:hAnsi="Times New Roman" w:cs="Times New Roman"/>
          <w:sz w:val="26"/>
          <w:szCs w:val="26"/>
          <w:lang w:val="en-GB"/>
        </w:rPr>
        <w:t>(b)to retain that information,</w:t>
      </w:r>
    </w:p>
    <w:p w14:paraId="27F890CA" w14:textId="77777777" w:rsidR="00466AB6" w:rsidRPr="00347803" w:rsidRDefault="00466AB6" w:rsidP="007A00DB">
      <w:pPr>
        <w:autoSpaceDE w:val="0"/>
        <w:autoSpaceDN w:val="0"/>
        <w:adjustRightInd w:val="0"/>
        <w:spacing w:after="0" w:line="240" w:lineRule="auto"/>
        <w:rPr>
          <w:rFonts w:ascii="Times New Roman" w:hAnsi="Times New Roman" w:cs="Times New Roman"/>
          <w:sz w:val="26"/>
          <w:szCs w:val="26"/>
          <w:lang w:val="en-GB"/>
        </w:rPr>
      </w:pPr>
      <w:r w:rsidRPr="00347803">
        <w:rPr>
          <w:rFonts w:ascii="Times New Roman" w:hAnsi="Times New Roman" w:cs="Times New Roman"/>
          <w:sz w:val="26"/>
          <w:szCs w:val="26"/>
          <w:lang w:val="en-GB"/>
        </w:rPr>
        <w:t>(c)to use or weigh that information as part of the process of making the decision, or</w:t>
      </w:r>
    </w:p>
    <w:p w14:paraId="05D75108" w14:textId="77777777" w:rsidR="00466AB6" w:rsidRPr="00E221DA" w:rsidRDefault="00466AB6" w:rsidP="007A00DB">
      <w:pPr>
        <w:autoSpaceDE w:val="0"/>
        <w:autoSpaceDN w:val="0"/>
        <w:adjustRightInd w:val="0"/>
        <w:spacing w:after="0" w:line="240" w:lineRule="auto"/>
        <w:rPr>
          <w:rFonts w:ascii="Times New Roman" w:hAnsi="Times New Roman" w:cs="Times New Roman"/>
          <w:sz w:val="26"/>
          <w:szCs w:val="26"/>
          <w:lang w:val="en-GB"/>
        </w:rPr>
      </w:pPr>
      <w:r w:rsidRPr="00347803">
        <w:rPr>
          <w:rFonts w:ascii="Times New Roman" w:hAnsi="Times New Roman" w:cs="Times New Roman"/>
          <w:sz w:val="26"/>
          <w:szCs w:val="26"/>
          <w:lang w:val="en-GB"/>
        </w:rPr>
        <w:t xml:space="preserve">(d)to communicate his decision (whether by talking, using sign language or any other </w:t>
      </w:r>
      <w:r w:rsidRPr="00E221DA">
        <w:rPr>
          <w:rFonts w:ascii="Times New Roman" w:hAnsi="Times New Roman" w:cs="Times New Roman"/>
          <w:sz w:val="26"/>
          <w:szCs w:val="26"/>
          <w:lang w:val="en-GB"/>
        </w:rPr>
        <w:t>means).</w:t>
      </w:r>
    </w:p>
    <w:p w14:paraId="304C4380" w14:textId="7E200D09" w:rsidR="00466AB6" w:rsidRPr="00E221DA" w:rsidRDefault="00466AB6" w:rsidP="007A00DB">
      <w:pPr>
        <w:autoSpaceDE w:val="0"/>
        <w:autoSpaceDN w:val="0"/>
        <w:adjustRightInd w:val="0"/>
        <w:spacing w:after="0" w:line="240" w:lineRule="auto"/>
        <w:rPr>
          <w:rFonts w:ascii="Times New Roman" w:hAnsi="Times New Roman" w:cs="Times New Roman"/>
          <w:sz w:val="26"/>
          <w:szCs w:val="26"/>
          <w:lang w:val="en-GB"/>
        </w:rPr>
      </w:pPr>
    </w:p>
    <w:p w14:paraId="2EA11279" w14:textId="06737F28" w:rsidR="00347803" w:rsidRDefault="00347803" w:rsidP="007A00DB">
      <w:pPr>
        <w:autoSpaceDE w:val="0"/>
        <w:autoSpaceDN w:val="0"/>
        <w:adjustRightInd w:val="0"/>
        <w:spacing w:after="0" w:line="240" w:lineRule="auto"/>
        <w:rPr>
          <w:rFonts w:ascii="Times New Roman" w:hAnsi="Times New Roman" w:cs="Times New Roman"/>
          <w:noProof/>
          <w:sz w:val="26"/>
          <w:szCs w:val="26"/>
        </w:rPr>
      </w:pPr>
      <w:r w:rsidRPr="00E221DA">
        <w:rPr>
          <w:rFonts w:ascii="Times New Roman" w:hAnsi="Times New Roman" w:cs="Times New Roman"/>
          <w:sz w:val="26"/>
          <w:szCs w:val="26"/>
        </w:rPr>
        <w:t>Det finns ett antal instrument som utvecklats för att på ett strukturerat sätt bedöma ovanstående</w:t>
      </w:r>
      <w:r w:rsidR="00E221DA" w:rsidRPr="00E221DA">
        <w:rPr>
          <w:rFonts w:ascii="Times New Roman" w:hAnsi="Times New Roman" w:cs="Times New Roman"/>
          <w:sz w:val="26"/>
          <w:szCs w:val="26"/>
        </w:rPr>
        <w:t>, och det som anses som ”golden standard” är MacCat-T test (MacArthur Capacity Assessment Tool-(Treatment)) (</w:t>
      </w:r>
      <w:r w:rsidR="00E221DA" w:rsidRPr="00E221DA">
        <w:rPr>
          <w:rFonts w:ascii="Times New Roman" w:hAnsi="Times New Roman" w:cs="Times New Roman"/>
          <w:noProof/>
          <w:sz w:val="26"/>
          <w:szCs w:val="26"/>
        </w:rPr>
        <w:t>Lamont et al, 2013</w:t>
      </w:r>
      <w:r w:rsidR="00E221DA" w:rsidRPr="00E221DA">
        <w:rPr>
          <w:rFonts w:ascii="Times New Roman" w:hAnsi="Times New Roman" w:cs="Times New Roman"/>
          <w:noProof/>
          <w:sz w:val="26"/>
          <w:szCs w:val="26"/>
        </w:rPr>
        <w:t>). Av flera skäl används</w:t>
      </w:r>
      <w:r w:rsidR="00E221DA">
        <w:rPr>
          <w:rFonts w:ascii="Times New Roman" w:hAnsi="Times New Roman" w:cs="Times New Roman"/>
          <w:noProof/>
          <w:sz w:val="26"/>
          <w:szCs w:val="26"/>
        </w:rPr>
        <w:t xml:space="preserve"> dock inte dessa i svensk praxis. </w:t>
      </w:r>
      <w:r w:rsidR="00E221DA" w:rsidRPr="00E221DA">
        <w:rPr>
          <w:rFonts w:ascii="Times New Roman" w:hAnsi="Times New Roman" w:cs="Times New Roman"/>
          <w:noProof/>
          <w:sz w:val="26"/>
          <w:szCs w:val="26"/>
        </w:rPr>
        <w:t>Ett skäl är att instrumenten tar tid att använda (o</w:t>
      </w:r>
      <w:r w:rsidR="00E221DA">
        <w:rPr>
          <w:rFonts w:ascii="Times New Roman" w:hAnsi="Times New Roman" w:cs="Times New Roman"/>
          <w:noProof/>
          <w:sz w:val="26"/>
          <w:szCs w:val="26"/>
        </w:rPr>
        <w:t xml:space="preserve">van </w:t>
      </w:r>
      <w:r w:rsidR="00E221DA">
        <w:rPr>
          <w:rFonts w:ascii="Times New Roman" w:hAnsi="Times New Roman" w:cs="Times New Roman"/>
          <w:noProof/>
          <w:sz w:val="26"/>
          <w:szCs w:val="26"/>
        </w:rPr>
        <w:lastRenderedPageBreak/>
        <w:t>nämnda MacCat-T anses ta ca 20 minuter att använda), men viktigare ändå är att beslutskompetens inte spelar den avgörande roll i Sverige som det gör i England och USA (se nedan)</w:t>
      </w:r>
      <w:r w:rsidR="002F7E17">
        <w:rPr>
          <w:rFonts w:ascii="Times New Roman" w:hAnsi="Times New Roman" w:cs="Times New Roman"/>
          <w:noProof/>
          <w:sz w:val="26"/>
          <w:szCs w:val="26"/>
        </w:rPr>
        <w:t>.</w:t>
      </w:r>
      <w:r w:rsidR="00E221DA">
        <w:rPr>
          <w:rFonts w:ascii="Times New Roman" w:hAnsi="Times New Roman" w:cs="Times New Roman"/>
          <w:noProof/>
          <w:sz w:val="26"/>
          <w:szCs w:val="26"/>
        </w:rPr>
        <w:t xml:space="preserve"> </w:t>
      </w:r>
    </w:p>
    <w:p w14:paraId="1B9A96E8" w14:textId="17E1CCEB" w:rsidR="00E221DA" w:rsidRDefault="00E221DA" w:rsidP="007A00DB">
      <w:pPr>
        <w:autoSpaceDE w:val="0"/>
        <w:autoSpaceDN w:val="0"/>
        <w:adjustRightInd w:val="0"/>
        <w:spacing w:after="0" w:line="240" w:lineRule="auto"/>
        <w:rPr>
          <w:rFonts w:ascii="Times New Roman" w:hAnsi="Times New Roman" w:cs="Times New Roman"/>
          <w:sz w:val="26"/>
          <w:szCs w:val="26"/>
        </w:rPr>
      </w:pPr>
    </w:p>
    <w:p w14:paraId="4C7F0D5D" w14:textId="0546BF60" w:rsidR="002F7E17" w:rsidRDefault="002F7E17" w:rsidP="007A00D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Det är inte möjligt att anta låg beslutskompetens pga dåligt resultat på MMSE eller andra instrument som används för att skatta nedsatt kognitiv förmåga, åtminstone inte i de övre intervallen av skalan (Lamont et al, 2013). Detta är för att instrumenten mäter olika saker (exempelvis finns inget krav på att patienten ska kunna uttrycka sin värdering i MMSE). </w:t>
      </w:r>
    </w:p>
    <w:p w14:paraId="00741EBF" w14:textId="77777777" w:rsidR="002F7E17" w:rsidRPr="002F7E17" w:rsidRDefault="002F7E17" w:rsidP="007A00DB">
      <w:pPr>
        <w:autoSpaceDE w:val="0"/>
        <w:autoSpaceDN w:val="0"/>
        <w:adjustRightInd w:val="0"/>
        <w:spacing w:after="0" w:line="240" w:lineRule="auto"/>
        <w:rPr>
          <w:rFonts w:ascii="Times New Roman" w:hAnsi="Times New Roman" w:cs="Times New Roman"/>
          <w:sz w:val="26"/>
          <w:szCs w:val="26"/>
        </w:rPr>
      </w:pPr>
    </w:p>
    <w:p w14:paraId="29742075" w14:textId="3A014E97" w:rsidR="00466AB6" w:rsidRPr="002F7E17" w:rsidRDefault="00E221DA" w:rsidP="007A00DB">
      <w:pPr>
        <w:autoSpaceDE w:val="0"/>
        <w:autoSpaceDN w:val="0"/>
        <w:adjustRightInd w:val="0"/>
        <w:spacing w:after="0" w:line="240" w:lineRule="auto"/>
        <w:rPr>
          <w:rFonts w:ascii="Times New Roman" w:hAnsi="Times New Roman" w:cs="Times New Roman"/>
          <w:sz w:val="26"/>
          <w:szCs w:val="26"/>
        </w:rPr>
      </w:pPr>
      <w:r w:rsidRPr="002F7E17">
        <w:rPr>
          <w:rFonts w:ascii="Times New Roman" w:hAnsi="Times New Roman" w:cs="Times New Roman"/>
          <w:sz w:val="26"/>
          <w:szCs w:val="26"/>
        </w:rPr>
        <w:t xml:space="preserve">En avslutande och mycket viktig kommentar: minst lika viktigt som att </w:t>
      </w:r>
      <w:r w:rsidRPr="002F7E17">
        <w:rPr>
          <w:rFonts w:ascii="Times New Roman" w:hAnsi="Times New Roman" w:cs="Times New Roman"/>
          <w:i/>
          <w:iCs/>
          <w:sz w:val="26"/>
          <w:szCs w:val="26"/>
        </w:rPr>
        <w:t xml:space="preserve">bedöma </w:t>
      </w:r>
      <w:r w:rsidRPr="002F7E17">
        <w:rPr>
          <w:rFonts w:ascii="Times New Roman" w:hAnsi="Times New Roman" w:cs="Times New Roman"/>
          <w:sz w:val="26"/>
          <w:szCs w:val="26"/>
        </w:rPr>
        <w:t xml:space="preserve">beslutskompetens är att </w:t>
      </w:r>
      <w:r w:rsidRPr="002F7E17">
        <w:rPr>
          <w:rFonts w:ascii="Times New Roman" w:hAnsi="Times New Roman" w:cs="Times New Roman"/>
          <w:i/>
          <w:iCs/>
          <w:sz w:val="26"/>
          <w:szCs w:val="26"/>
        </w:rPr>
        <w:t xml:space="preserve">underlätta </w:t>
      </w:r>
      <w:r w:rsidRPr="002F7E17">
        <w:rPr>
          <w:rFonts w:ascii="Times New Roman" w:hAnsi="Times New Roman" w:cs="Times New Roman"/>
          <w:sz w:val="26"/>
          <w:szCs w:val="26"/>
        </w:rPr>
        <w:t xml:space="preserve">beslutskompetens. Med detta menas att vi ska ge patienten all den information hon behöver för att kunna fatta sitt eget beslut, och eventuellt även hjälp att sortera bland motstridiga känslor och viljor. </w:t>
      </w:r>
      <w:proofErr w:type="spellStart"/>
      <w:r w:rsidRPr="002F7E17">
        <w:rPr>
          <w:rFonts w:ascii="Times New Roman" w:hAnsi="Times New Roman" w:cs="Times New Roman"/>
          <w:sz w:val="26"/>
          <w:szCs w:val="26"/>
          <w:lang w:val="en-US"/>
        </w:rPr>
        <w:t>Som</w:t>
      </w:r>
      <w:proofErr w:type="spellEnd"/>
      <w:r w:rsidRPr="002F7E17">
        <w:rPr>
          <w:rFonts w:ascii="Times New Roman" w:hAnsi="Times New Roman" w:cs="Times New Roman"/>
          <w:sz w:val="26"/>
          <w:szCs w:val="26"/>
          <w:lang w:val="en-US"/>
        </w:rPr>
        <w:t xml:space="preserve"> det </w:t>
      </w:r>
      <w:proofErr w:type="spellStart"/>
      <w:r w:rsidRPr="002F7E17">
        <w:rPr>
          <w:rFonts w:ascii="Times New Roman" w:hAnsi="Times New Roman" w:cs="Times New Roman"/>
          <w:sz w:val="26"/>
          <w:szCs w:val="26"/>
          <w:lang w:val="en-US"/>
        </w:rPr>
        <w:t>heter</w:t>
      </w:r>
      <w:proofErr w:type="spellEnd"/>
      <w:r w:rsidRPr="002F7E17">
        <w:rPr>
          <w:rFonts w:ascii="Times New Roman" w:hAnsi="Times New Roman" w:cs="Times New Roman"/>
          <w:sz w:val="26"/>
          <w:szCs w:val="26"/>
          <w:lang w:val="en-US"/>
        </w:rPr>
        <w:t xml:space="preserve"> </w:t>
      </w:r>
      <w:proofErr w:type="spellStart"/>
      <w:r w:rsidRPr="002F7E17">
        <w:rPr>
          <w:rFonts w:ascii="Times New Roman" w:hAnsi="Times New Roman" w:cs="Times New Roman"/>
          <w:sz w:val="26"/>
          <w:szCs w:val="26"/>
          <w:lang w:val="en-US"/>
        </w:rPr>
        <w:t>i</w:t>
      </w:r>
      <w:proofErr w:type="spellEnd"/>
      <w:r w:rsidRPr="002F7E17">
        <w:rPr>
          <w:rFonts w:ascii="Times New Roman" w:hAnsi="Times New Roman" w:cs="Times New Roman"/>
          <w:sz w:val="26"/>
          <w:szCs w:val="26"/>
          <w:lang w:val="en-US"/>
        </w:rPr>
        <w:t xml:space="preserve"> MCA (Mental Capacity Act): “A </w:t>
      </w:r>
      <w:r w:rsidR="00466AB6" w:rsidRPr="002F7E17">
        <w:rPr>
          <w:rFonts w:ascii="Times New Roman" w:hAnsi="Times New Roman" w:cs="Times New Roman"/>
          <w:sz w:val="26"/>
          <w:szCs w:val="26"/>
          <w:lang w:val="en-GB"/>
        </w:rPr>
        <w:t>person is not to be treated as unable to make a decision unless all practicable steps to help him to do so have been taken without success</w:t>
      </w:r>
      <w:r w:rsidRPr="002F7E17">
        <w:rPr>
          <w:rFonts w:ascii="Times New Roman" w:hAnsi="Times New Roman" w:cs="Times New Roman"/>
          <w:sz w:val="26"/>
          <w:szCs w:val="26"/>
          <w:lang w:val="en-GB"/>
        </w:rPr>
        <w:t>”</w:t>
      </w:r>
      <w:r w:rsidR="00466AB6" w:rsidRPr="002F7E17">
        <w:rPr>
          <w:rFonts w:ascii="Times New Roman" w:hAnsi="Times New Roman" w:cs="Times New Roman"/>
          <w:sz w:val="26"/>
          <w:szCs w:val="26"/>
          <w:lang w:val="en-GB"/>
        </w:rPr>
        <w:t>.</w:t>
      </w:r>
      <w:r w:rsidRPr="002F7E17">
        <w:rPr>
          <w:rFonts w:ascii="Times New Roman" w:hAnsi="Times New Roman" w:cs="Times New Roman"/>
          <w:sz w:val="26"/>
          <w:szCs w:val="26"/>
          <w:lang w:val="en-GB"/>
        </w:rPr>
        <w:t xml:space="preserve"> </w:t>
      </w:r>
      <w:r w:rsidRPr="002F7E17">
        <w:rPr>
          <w:rFonts w:ascii="Times New Roman" w:hAnsi="Times New Roman" w:cs="Times New Roman"/>
          <w:sz w:val="26"/>
          <w:szCs w:val="26"/>
        </w:rPr>
        <w:t xml:space="preserve">Detta är en viktig uppgift som åligger oss, </w:t>
      </w:r>
      <w:r w:rsidRPr="002F7E17">
        <w:rPr>
          <w:rFonts w:ascii="Times New Roman" w:hAnsi="Times New Roman" w:cs="Times New Roman"/>
          <w:i/>
          <w:iCs/>
          <w:sz w:val="26"/>
          <w:szCs w:val="26"/>
        </w:rPr>
        <w:t xml:space="preserve">innan </w:t>
      </w:r>
      <w:r w:rsidRPr="002F7E17">
        <w:rPr>
          <w:rFonts w:ascii="Times New Roman" w:hAnsi="Times New Roman" w:cs="Times New Roman"/>
          <w:noProof/>
          <w:sz w:val="26"/>
          <w:szCs w:val="26"/>
        </w:rPr>
        <w:t>vi börjar fundera på att förklara en patient för bristande avseende beslutskompetens.</w:t>
      </w:r>
    </w:p>
    <w:p w14:paraId="0D4E2ABB" w14:textId="77777777" w:rsidR="00347803" w:rsidRPr="00E221DA" w:rsidRDefault="00347803" w:rsidP="007A00DB">
      <w:pPr>
        <w:autoSpaceDE w:val="0"/>
        <w:autoSpaceDN w:val="0"/>
        <w:adjustRightInd w:val="0"/>
        <w:spacing w:after="0" w:line="240" w:lineRule="auto"/>
        <w:rPr>
          <w:rFonts w:ascii="Times New Roman" w:hAnsi="Times New Roman" w:cs="Times New Roman"/>
          <w:sz w:val="26"/>
          <w:szCs w:val="26"/>
          <w:highlight w:val="yellow"/>
        </w:rPr>
      </w:pPr>
    </w:p>
    <w:p w14:paraId="1681950E" w14:textId="77777777" w:rsidR="00466AB6" w:rsidRPr="008465F7" w:rsidRDefault="00466AB6">
      <w:pPr>
        <w:rPr>
          <w:rFonts w:ascii="Times New Roman" w:hAnsi="Times New Roman" w:cs="Times New Roman"/>
          <w:sz w:val="26"/>
          <w:szCs w:val="26"/>
        </w:rPr>
      </w:pPr>
      <w:r w:rsidRPr="008465F7">
        <w:rPr>
          <w:rFonts w:ascii="Times New Roman" w:hAnsi="Times New Roman" w:cs="Times New Roman"/>
          <w:sz w:val="26"/>
          <w:szCs w:val="26"/>
        </w:rPr>
        <w:t>OM PATIENTEN HAR NEDSATT BESLUTSKOMPETENS</w:t>
      </w:r>
    </w:p>
    <w:p w14:paraId="043FF655" w14:textId="3126143D" w:rsidR="00466AB6" w:rsidRDefault="00466AB6">
      <w:pPr>
        <w:rPr>
          <w:rFonts w:ascii="Times New Roman" w:hAnsi="Times New Roman" w:cs="Times New Roman"/>
          <w:noProof/>
          <w:sz w:val="26"/>
          <w:szCs w:val="26"/>
        </w:rPr>
      </w:pPr>
      <w:r w:rsidRPr="008465F7">
        <w:rPr>
          <w:rFonts w:ascii="Times New Roman" w:hAnsi="Times New Roman" w:cs="Times New Roman"/>
          <w:sz w:val="26"/>
          <w:szCs w:val="26"/>
        </w:rPr>
        <w:t>Socialstyrelsen</w:t>
      </w:r>
      <w:r w:rsidR="000C7101">
        <w:rPr>
          <w:rFonts w:ascii="Times New Roman" w:hAnsi="Times New Roman" w:cs="Times New Roman"/>
          <w:sz w:val="26"/>
          <w:szCs w:val="26"/>
        </w:rPr>
        <w:t xml:space="preserve"> skriver i</w:t>
      </w:r>
      <w:r w:rsidRPr="008465F7">
        <w:rPr>
          <w:rFonts w:ascii="Times New Roman" w:hAnsi="Times New Roman" w:cs="Times New Roman"/>
          <w:sz w:val="26"/>
          <w:szCs w:val="26"/>
        </w:rPr>
        <w:t xml:space="preserve"> ”</w:t>
      </w:r>
      <w:r w:rsidR="000C7101">
        <w:rPr>
          <w:rFonts w:ascii="Times New Roman" w:hAnsi="Times New Roman" w:cs="Times New Roman"/>
          <w:sz w:val="26"/>
          <w:szCs w:val="26"/>
        </w:rPr>
        <w:t>D</w:t>
      </w:r>
      <w:r w:rsidRPr="008465F7">
        <w:rPr>
          <w:rFonts w:ascii="Times New Roman" w:hAnsi="Times New Roman" w:cs="Times New Roman"/>
          <w:sz w:val="26"/>
          <w:szCs w:val="26"/>
        </w:rPr>
        <w:t xml:space="preserve">in </w:t>
      </w:r>
      <w:r w:rsidR="000C7101">
        <w:rPr>
          <w:rFonts w:ascii="Times New Roman" w:hAnsi="Times New Roman" w:cs="Times New Roman"/>
          <w:sz w:val="26"/>
          <w:szCs w:val="26"/>
        </w:rPr>
        <w:t xml:space="preserve">skyldighet </w:t>
      </w:r>
      <w:r w:rsidR="000C7101" w:rsidRPr="000C7101">
        <w:rPr>
          <w:rFonts w:ascii="Times New Roman" w:hAnsi="Times New Roman" w:cs="Times New Roman"/>
          <w:sz w:val="26"/>
          <w:szCs w:val="26"/>
        </w:rPr>
        <w:t>att informera och göra patienten delaktig</w:t>
      </w:r>
      <w:r w:rsidR="000C7101">
        <w:rPr>
          <w:rFonts w:ascii="Times New Roman" w:hAnsi="Times New Roman" w:cs="Times New Roman"/>
          <w:sz w:val="26"/>
          <w:szCs w:val="26"/>
        </w:rPr>
        <w:t xml:space="preserve">”: </w:t>
      </w:r>
      <w:r w:rsidRPr="008465F7">
        <w:rPr>
          <w:rFonts w:ascii="Times New Roman" w:hAnsi="Times New Roman" w:cs="Times New Roman"/>
          <w:sz w:val="26"/>
          <w:szCs w:val="26"/>
        </w:rPr>
        <w:t xml:space="preserve">”att respektera den sjukes autonomi blir svårare vartefter sjukdomen utvecklas” </w:t>
      </w:r>
      <w:r w:rsidRPr="008465F7">
        <w:rPr>
          <w:rFonts w:ascii="Times New Roman" w:hAnsi="Times New Roman" w:cs="Times New Roman"/>
          <w:noProof/>
          <w:sz w:val="26"/>
          <w:szCs w:val="26"/>
        </w:rPr>
        <w:t>(</w:t>
      </w:r>
      <w:r w:rsidR="000C7101">
        <w:rPr>
          <w:rFonts w:ascii="Times New Roman" w:hAnsi="Times New Roman" w:cs="Times New Roman"/>
          <w:noProof/>
          <w:sz w:val="26"/>
          <w:szCs w:val="26"/>
        </w:rPr>
        <w:t>Socialstyrelsen</w:t>
      </w:r>
      <w:r w:rsidRPr="008465F7">
        <w:rPr>
          <w:rFonts w:ascii="Times New Roman" w:hAnsi="Times New Roman" w:cs="Times New Roman"/>
          <w:noProof/>
          <w:sz w:val="26"/>
          <w:szCs w:val="26"/>
        </w:rPr>
        <w:t>, 2015)</w:t>
      </w:r>
      <w:r w:rsidR="000C7101">
        <w:rPr>
          <w:rFonts w:ascii="Times New Roman" w:hAnsi="Times New Roman" w:cs="Times New Roman"/>
          <w:noProof/>
          <w:sz w:val="26"/>
          <w:szCs w:val="26"/>
        </w:rPr>
        <w:t xml:space="preserve">. Även om beslutskompetensen sviktar (och därmed en av förutsättningarna för ”full” autonomi), betyder det inte att vi kan strunta i patientens autonomi. För det första inbegriper autonomi utöver de ovan nämnda aspekterna enligt många modeller även integritet – och rätten till respekt för sin integritet behåller människor oavsett hur det står till med övriga aspekter av autonomin. För det andra ska vi fortsatt göra allt vi kan för att respektera den autonomi som patienten fortfarande har. Detta innebär bland annat att patienten ska få fatta den sorts beslut hon ännu kan. För det tredje anses även tidigare viljeyttringar vara en del av en persons autonomi, vilket innebär att en patient som idag inte kan fatta vissa beslut kan behandlas i enlighet med det hon uttryckte då hon ännu kunde fatta besluten. Här kan närstående vara till hjälp genom att berätta om vad patienten tidigare uttryckt avseende sin inställning till vård. (Närstående </w:t>
      </w:r>
      <w:r w:rsidR="009322DE">
        <w:rPr>
          <w:rFonts w:ascii="Times New Roman" w:hAnsi="Times New Roman" w:cs="Times New Roman"/>
          <w:noProof/>
          <w:sz w:val="26"/>
          <w:szCs w:val="26"/>
        </w:rPr>
        <w:t>kan fungera som ett ”externt minne” för</w:t>
      </w:r>
      <w:r w:rsidR="000C7101">
        <w:rPr>
          <w:rFonts w:ascii="Times New Roman" w:hAnsi="Times New Roman" w:cs="Times New Roman"/>
          <w:noProof/>
          <w:sz w:val="26"/>
          <w:szCs w:val="26"/>
        </w:rPr>
        <w:t xml:space="preserve"> patienten – vilket är något helt annat än att närstående ska bestämma, eller berätta vad de själva tycker.) Det ska dock poängteras att Sverige inte, som en del andra länder, ger absolut tolkningsföreträde åt tidigare viljeyttringar. Istället betonas i svensk vårdtradition att sjukvårdspersonal både måste värdera om det är sannolikt att de tidigare viljeyttringarna fortfarande är giltiga, och väga dessa mot patientens nuvarande medicinska intresse (Socialstyrelsen, 2011).</w:t>
      </w:r>
      <w:r w:rsidR="009322DE">
        <w:rPr>
          <w:rFonts w:ascii="Times New Roman" w:hAnsi="Times New Roman" w:cs="Times New Roman"/>
          <w:noProof/>
          <w:sz w:val="26"/>
          <w:szCs w:val="26"/>
        </w:rPr>
        <w:t xml:space="preserve"> För det fjärde består skyddet mot tvångsbehandling även för patienter med nedsatt beslutskompetens (utöver den tvångsvård som regleras i tvångslagstiftningen: </w:t>
      </w:r>
      <w:r w:rsidR="009322DE" w:rsidRPr="009322DE">
        <w:rPr>
          <w:rFonts w:ascii="Times New Roman" w:hAnsi="Times New Roman" w:cs="Times New Roman"/>
          <w:noProof/>
          <w:sz w:val="26"/>
          <w:szCs w:val="26"/>
        </w:rPr>
        <w:t>LVU (lag</w:t>
      </w:r>
      <w:r w:rsidR="009322DE">
        <w:rPr>
          <w:rFonts w:ascii="Times New Roman" w:hAnsi="Times New Roman" w:cs="Times New Roman"/>
          <w:noProof/>
          <w:sz w:val="26"/>
          <w:szCs w:val="26"/>
        </w:rPr>
        <w:t>en</w:t>
      </w:r>
      <w:r w:rsidR="009322DE" w:rsidRPr="009322DE">
        <w:rPr>
          <w:rFonts w:ascii="Times New Roman" w:hAnsi="Times New Roman" w:cs="Times New Roman"/>
          <w:noProof/>
          <w:sz w:val="26"/>
          <w:szCs w:val="26"/>
        </w:rPr>
        <w:t xml:space="preserve"> om vård av unga), LVM (lag</w:t>
      </w:r>
      <w:r w:rsidR="009322DE">
        <w:rPr>
          <w:rFonts w:ascii="Times New Roman" w:hAnsi="Times New Roman" w:cs="Times New Roman"/>
          <w:noProof/>
          <w:sz w:val="26"/>
          <w:szCs w:val="26"/>
        </w:rPr>
        <w:t>en</w:t>
      </w:r>
      <w:r w:rsidR="009322DE" w:rsidRPr="009322DE">
        <w:rPr>
          <w:rFonts w:ascii="Times New Roman" w:hAnsi="Times New Roman" w:cs="Times New Roman"/>
          <w:noProof/>
          <w:sz w:val="26"/>
          <w:szCs w:val="26"/>
        </w:rPr>
        <w:t xml:space="preserve"> om vård av missbrukare i vissa fall), LPT (lag</w:t>
      </w:r>
      <w:r w:rsidR="009322DE">
        <w:rPr>
          <w:rFonts w:ascii="Times New Roman" w:hAnsi="Times New Roman" w:cs="Times New Roman"/>
          <w:noProof/>
          <w:sz w:val="26"/>
          <w:szCs w:val="26"/>
        </w:rPr>
        <w:t>en</w:t>
      </w:r>
      <w:r w:rsidR="009322DE" w:rsidRPr="009322DE">
        <w:rPr>
          <w:rFonts w:ascii="Times New Roman" w:hAnsi="Times New Roman" w:cs="Times New Roman"/>
          <w:noProof/>
          <w:sz w:val="26"/>
          <w:szCs w:val="26"/>
        </w:rPr>
        <w:t xml:space="preserve"> om psykiatrisk tvångsvård)</w:t>
      </w:r>
      <w:r w:rsidR="009322DE">
        <w:rPr>
          <w:rFonts w:ascii="Times New Roman" w:hAnsi="Times New Roman" w:cs="Times New Roman"/>
          <w:noProof/>
          <w:sz w:val="26"/>
          <w:szCs w:val="26"/>
        </w:rPr>
        <w:t>,</w:t>
      </w:r>
      <w:r w:rsidR="009322DE" w:rsidRPr="009322DE">
        <w:rPr>
          <w:rFonts w:ascii="Times New Roman" w:hAnsi="Times New Roman" w:cs="Times New Roman"/>
          <w:noProof/>
          <w:sz w:val="26"/>
          <w:szCs w:val="26"/>
        </w:rPr>
        <w:t xml:space="preserve"> LRV (lag</w:t>
      </w:r>
      <w:r w:rsidR="009322DE">
        <w:rPr>
          <w:rFonts w:ascii="Times New Roman" w:hAnsi="Times New Roman" w:cs="Times New Roman"/>
          <w:noProof/>
          <w:sz w:val="26"/>
          <w:szCs w:val="26"/>
        </w:rPr>
        <w:t>en</w:t>
      </w:r>
      <w:r w:rsidR="009322DE" w:rsidRPr="009322DE">
        <w:rPr>
          <w:rFonts w:ascii="Times New Roman" w:hAnsi="Times New Roman" w:cs="Times New Roman"/>
          <w:noProof/>
          <w:sz w:val="26"/>
          <w:szCs w:val="26"/>
        </w:rPr>
        <w:t xml:space="preserve"> om rättspsykiatrisk vård)</w:t>
      </w:r>
      <w:r w:rsidR="009322DE">
        <w:rPr>
          <w:rFonts w:ascii="Times New Roman" w:hAnsi="Times New Roman" w:cs="Times New Roman"/>
          <w:noProof/>
          <w:sz w:val="26"/>
          <w:szCs w:val="26"/>
        </w:rPr>
        <w:t xml:space="preserve"> samt SmittskL (lagen om smittskydd)). Detta </w:t>
      </w:r>
      <w:r w:rsidR="009322DE">
        <w:rPr>
          <w:rFonts w:ascii="Times New Roman" w:hAnsi="Times New Roman" w:cs="Times New Roman"/>
          <w:noProof/>
          <w:sz w:val="26"/>
          <w:szCs w:val="26"/>
        </w:rPr>
        <w:lastRenderedPageBreak/>
        <w:t xml:space="preserve">innebär bland annat att vi inte får ta prover eller ge behandling till en patient som tydligt uttrycker att hon inte vill (drar undan sin arm, skriker ”nej” etc), även om vi har skäl att tro att hon inte förstår vad det hela handlar om. Detta förbud är grundat i respekten för autonomi. (Med risk för att komplicera saker och ting kan det vara möjligt att använda olika former av lirkande och delvis vilseledande manövrar som vore helt oacceptabla i mötet med en potentiellt beslutskompetent patient. Användandet av sådana manövrar är dock otydligt reglerat i lagen, och bör sannolikt användas i minsta möjliga mån. Det är också viktigt att man på en vårdenhet diskuterar användandet av sådana manövrar kontinuerligt, för att säkerställa att man inte alltför lättvindigt tar till sådant.) </w:t>
      </w:r>
      <w:r w:rsidR="000C7101">
        <w:rPr>
          <w:rFonts w:ascii="Times New Roman" w:hAnsi="Times New Roman" w:cs="Times New Roman"/>
          <w:noProof/>
          <w:sz w:val="26"/>
          <w:szCs w:val="26"/>
        </w:rPr>
        <w:t xml:space="preserve">   </w:t>
      </w:r>
    </w:p>
    <w:p w14:paraId="53E1D30F" w14:textId="1D375E93" w:rsidR="009322DE" w:rsidRPr="008465F7" w:rsidRDefault="009322DE">
      <w:pPr>
        <w:rPr>
          <w:rFonts w:ascii="Times New Roman" w:hAnsi="Times New Roman" w:cs="Times New Roman"/>
          <w:sz w:val="26"/>
          <w:szCs w:val="26"/>
        </w:rPr>
      </w:pPr>
      <w:r>
        <w:rPr>
          <w:rFonts w:ascii="Times New Roman" w:hAnsi="Times New Roman" w:cs="Times New Roman"/>
          <w:noProof/>
          <w:sz w:val="26"/>
          <w:szCs w:val="26"/>
        </w:rPr>
        <w:t xml:space="preserve">Om det inte går att utröna vad patienten skulle vilja i den nuvarande situationen måste vi tyvärr erkänna att vi inte kan erbjuda en vård som, i denna bemärkelse, respekterar patientens autonomi. Beslutet måste därför skifta fokus, och baseras på en rent medicinsk bedömning. </w:t>
      </w:r>
    </w:p>
    <w:p w14:paraId="5307C825" w14:textId="77777777" w:rsidR="00466AB6" w:rsidRPr="008465F7" w:rsidRDefault="00466AB6">
      <w:pPr>
        <w:rPr>
          <w:rFonts w:ascii="Times New Roman" w:hAnsi="Times New Roman" w:cs="Times New Roman"/>
          <w:sz w:val="26"/>
          <w:szCs w:val="26"/>
        </w:rPr>
      </w:pPr>
      <w:r w:rsidRPr="008465F7">
        <w:rPr>
          <w:rFonts w:ascii="Times New Roman" w:hAnsi="Times New Roman" w:cs="Times New Roman"/>
          <w:sz w:val="26"/>
          <w:szCs w:val="26"/>
        </w:rPr>
        <w:t xml:space="preserve">BESLUTSKOMPETENS OCH TVÅNGSVÅRD </w:t>
      </w:r>
    </w:p>
    <w:p w14:paraId="6C960722" w14:textId="370184C8" w:rsidR="00466AB6" w:rsidRPr="008465F7" w:rsidRDefault="00466AB6">
      <w:pPr>
        <w:rPr>
          <w:rFonts w:ascii="Times New Roman" w:hAnsi="Times New Roman" w:cs="Times New Roman"/>
          <w:sz w:val="26"/>
          <w:szCs w:val="26"/>
        </w:rPr>
      </w:pPr>
      <w:r w:rsidRPr="008465F7">
        <w:rPr>
          <w:rFonts w:ascii="Times New Roman" w:hAnsi="Times New Roman" w:cs="Times New Roman"/>
          <w:sz w:val="26"/>
          <w:szCs w:val="26"/>
        </w:rPr>
        <w:t>I Sverige är</w:t>
      </w:r>
      <w:r w:rsidR="009322DE">
        <w:rPr>
          <w:rFonts w:ascii="Times New Roman" w:hAnsi="Times New Roman" w:cs="Times New Roman"/>
          <w:sz w:val="26"/>
          <w:szCs w:val="26"/>
        </w:rPr>
        <w:t>, som nämnts ovan,</w:t>
      </w:r>
      <w:r w:rsidRPr="008465F7">
        <w:rPr>
          <w:rFonts w:ascii="Times New Roman" w:hAnsi="Times New Roman" w:cs="Times New Roman"/>
          <w:sz w:val="26"/>
          <w:szCs w:val="26"/>
        </w:rPr>
        <w:t xml:space="preserve"> grundregeln att vi inte får tvångsbehandla patienter, varken somatiskt eller psykiatriskt. </w:t>
      </w:r>
      <w:r w:rsidR="009322DE">
        <w:rPr>
          <w:rFonts w:ascii="Times New Roman" w:hAnsi="Times New Roman" w:cs="Times New Roman"/>
          <w:sz w:val="26"/>
          <w:szCs w:val="26"/>
        </w:rPr>
        <w:t xml:space="preserve">De tvångslagar som finns (se ovan) reglerar klart när tvångsvård får ges och vilka typer av tvångsvård som får ges. Med mycket få undantag får somatisk tvångsvård inte ges. </w:t>
      </w:r>
      <w:r w:rsidRPr="008465F7">
        <w:rPr>
          <w:rFonts w:ascii="Times New Roman" w:hAnsi="Times New Roman" w:cs="Times New Roman"/>
          <w:sz w:val="26"/>
          <w:szCs w:val="26"/>
        </w:rPr>
        <w:t xml:space="preserve">Det finns dock ingen automatisk koppling mellan brist på beslutskapacitet och tvångsvård. De sk rekvisiten för LPT inkluderar ”allvarlig psykatrisk sjukdom”, </w:t>
      </w:r>
      <w:r w:rsidR="009322DE">
        <w:rPr>
          <w:rFonts w:ascii="Times New Roman" w:hAnsi="Times New Roman" w:cs="Times New Roman"/>
          <w:sz w:val="26"/>
          <w:szCs w:val="26"/>
        </w:rPr>
        <w:t xml:space="preserve">men </w:t>
      </w:r>
      <w:r w:rsidRPr="008465F7">
        <w:rPr>
          <w:rFonts w:ascii="Times New Roman" w:hAnsi="Times New Roman" w:cs="Times New Roman"/>
          <w:sz w:val="26"/>
          <w:szCs w:val="26"/>
        </w:rPr>
        <w:t xml:space="preserve">inte beslutskompetens. </w:t>
      </w:r>
      <w:r w:rsidR="009322DE">
        <w:rPr>
          <w:rFonts w:ascii="Times New Roman" w:hAnsi="Times New Roman" w:cs="Times New Roman"/>
          <w:sz w:val="26"/>
          <w:szCs w:val="26"/>
        </w:rPr>
        <w:t xml:space="preserve">Det är också så att </w:t>
      </w:r>
      <w:r w:rsidRPr="008465F7">
        <w:rPr>
          <w:rFonts w:ascii="Times New Roman" w:hAnsi="Times New Roman" w:cs="Times New Roman"/>
          <w:sz w:val="26"/>
          <w:szCs w:val="26"/>
        </w:rPr>
        <w:t>empiriska studier visa</w:t>
      </w:r>
      <w:r w:rsidR="00AB73A4">
        <w:rPr>
          <w:rFonts w:ascii="Times New Roman" w:hAnsi="Times New Roman" w:cs="Times New Roman"/>
          <w:sz w:val="26"/>
          <w:szCs w:val="26"/>
        </w:rPr>
        <w:t>t</w:t>
      </w:r>
      <w:r w:rsidRPr="008465F7">
        <w:rPr>
          <w:rFonts w:ascii="Times New Roman" w:hAnsi="Times New Roman" w:cs="Times New Roman"/>
          <w:sz w:val="26"/>
          <w:szCs w:val="26"/>
        </w:rPr>
        <w:t xml:space="preserve"> att allvarlig psykiatrisk sjukdom </w:t>
      </w:r>
      <w:r w:rsidRPr="00AB73A4">
        <w:rPr>
          <w:rFonts w:ascii="Times New Roman" w:hAnsi="Times New Roman" w:cs="Times New Roman"/>
          <w:i/>
          <w:iCs/>
          <w:sz w:val="26"/>
          <w:szCs w:val="26"/>
        </w:rPr>
        <w:t>inte</w:t>
      </w:r>
      <w:r w:rsidRPr="008465F7">
        <w:rPr>
          <w:rFonts w:ascii="Times New Roman" w:hAnsi="Times New Roman" w:cs="Times New Roman"/>
          <w:sz w:val="26"/>
          <w:szCs w:val="26"/>
        </w:rPr>
        <w:t xml:space="preserve"> implicerar att man är beslutsinkoimpetent (</w:t>
      </w:r>
      <w:r w:rsidR="00AB73A4">
        <w:rPr>
          <w:rFonts w:ascii="Times New Roman" w:hAnsi="Times New Roman" w:cs="Times New Roman"/>
          <w:sz w:val="26"/>
          <w:szCs w:val="26"/>
        </w:rPr>
        <w:t>Hoge et al, 1995)</w:t>
      </w:r>
      <w:r w:rsidRPr="008465F7">
        <w:rPr>
          <w:rFonts w:ascii="Times New Roman" w:hAnsi="Times New Roman" w:cs="Times New Roman"/>
          <w:sz w:val="26"/>
          <w:szCs w:val="26"/>
        </w:rPr>
        <w:t>, och omvänt gäller inte heller – även patienter som uppenbart saknar beslutskompetens på många områden behöver inte nödvändigtvis uppfylla kraven på ”allvarlig psykiatrisk sjukdom”</w:t>
      </w:r>
      <w:r w:rsidR="00AB73A4">
        <w:rPr>
          <w:rFonts w:ascii="Times New Roman" w:hAnsi="Times New Roman" w:cs="Times New Roman"/>
          <w:sz w:val="26"/>
          <w:szCs w:val="26"/>
        </w:rPr>
        <w:t xml:space="preserve">. Demens med uttalad brist på beslutskompetens brukar exempelvis inte i sig räknas som en allvarlig psykiatrisk sjukdom i denna bemärkelse. </w:t>
      </w:r>
      <w:r w:rsidRPr="008465F7">
        <w:rPr>
          <w:rFonts w:ascii="Times New Roman" w:hAnsi="Times New Roman" w:cs="Times New Roman"/>
          <w:sz w:val="26"/>
          <w:szCs w:val="26"/>
        </w:rPr>
        <w:t xml:space="preserve">Det finns dock argument för att skriva om LPT så att den fokuserar på beslutskompetens istället för allvarlig psykatrisk sjukdom </w:t>
      </w:r>
      <w:r w:rsidRPr="008465F7">
        <w:rPr>
          <w:rFonts w:ascii="Times New Roman" w:hAnsi="Times New Roman" w:cs="Times New Roman"/>
          <w:noProof/>
          <w:sz w:val="26"/>
          <w:szCs w:val="26"/>
        </w:rPr>
        <w:t>(Sjöstrand, 2013)</w:t>
      </w:r>
    </w:p>
    <w:p w14:paraId="529C9F6F" w14:textId="254322D2" w:rsidR="00466AB6" w:rsidRPr="008465F7" w:rsidRDefault="00AB73A4">
      <w:pPr>
        <w:rPr>
          <w:rFonts w:ascii="Times New Roman" w:hAnsi="Times New Roman" w:cs="Times New Roman"/>
          <w:sz w:val="26"/>
          <w:szCs w:val="26"/>
        </w:rPr>
      </w:pPr>
      <w:r>
        <w:rPr>
          <w:rFonts w:ascii="Times New Roman" w:hAnsi="Times New Roman" w:cs="Times New Roman"/>
          <w:sz w:val="26"/>
          <w:szCs w:val="26"/>
        </w:rPr>
        <w:t xml:space="preserve">TILL SIST, NÅGRA KVARSTÅENDE </w:t>
      </w:r>
      <w:r w:rsidR="00466AB6" w:rsidRPr="008465F7">
        <w:rPr>
          <w:rFonts w:ascii="Times New Roman" w:hAnsi="Times New Roman" w:cs="Times New Roman"/>
          <w:sz w:val="26"/>
          <w:szCs w:val="26"/>
        </w:rPr>
        <w:t>ETISKA FRÅGOR</w:t>
      </w:r>
    </w:p>
    <w:p w14:paraId="5D9D375F" w14:textId="26B25B89" w:rsidR="00466AB6" w:rsidRPr="008465F7" w:rsidRDefault="00AB73A4" w:rsidP="007A00DB">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Givet att empiriska studier (bla Tonelli et al 2010) visat att en stor andel av svårt sjuka äldre patienter har nedsatt beslutskompetens, är det fortsatt riktigt att arbeta efter principen att presumera beslutskompetens? </w:t>
      </w:r>
    </w:p>
    <w:p w14:paraId="73620D60" w14:textId="6B565C2A" w:rsidR="00466AB6" w:rsidRDefault="00AB73A4" w:rsidP="007A00DB">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Det verkar rimligt att betrakta beslutskompetens som ett tröskelfenomen: antingen har man tillräckligt mycket beslutskompetens för att hantera den aktuella frågan, eller också inte. Är det rimligt att tröskeln sätts olika högt beroende på hur ”farligt” beslutet är (vissa författare har hävdat det, att vi bör ha en högre ställd tröskel för allvarliga beslut, se </w:t>
      </w:r>
      <w:r w:rsidR="00466AB6" w:rsidRPr="008465F7">
        <w:rPr>
          <w:rFonts w:ascii="Times New Roman" w:hAnsi="Times New Roman" w:cs="Times New Roman"/>
          <w:noProof/>
          <w:sz w:val="26"/>
          <w:szCs w:val="26"/>
        </w:rPr>
        <w:t>Lawlor, 2016, Sjöstrand, 2013)</w:t>
      </w:r>
      <w:r>
        <w:rPr>
          <w:rFonts w:ascii="Times New Roman" w:hAnsi="Times New Roman" w:cs="Times New Roman"/>
          <w:noProof/>
          <w:sz w:val="26"/>
          <w:szCs w:val="26"/>
        </w:rPr>
        <w:t>?</w:t>
      </w:r>
    </w:p>
    <w:p w14:paraId="6B1AA088" w14:textId="13D5C27B" w:rsidR="00AB73A4" w:rsidRPr="008465F7" w:rsidRDefault="00AB73A4" w:rsidP="007A00DB">
      <w:pPr>
        <w:pStyle w:val="ListParagraph"/>
        <w:numPr>
          <w:ilvl w:val="0"/>
          <w:numId w:val="1"/>
        </w:numPr>
        <w:rPr>
          <w:rFonts w:ascii="Times New Roman" w:hAnsi="Times New Roman" w:cs="Times New Roman"/>
          <w:sz w:val="26"/>
          <w:szCs w:val="26"/>
        </w:rPr>
      </w:pPr>
      <w:r>
        <w:rPr>
          <w:rFonts w:ascii="Times New Roman" w:hAnsi="Times New Roman" w:cs="Times New Roman"/>
          <w:noProof/>
          <w:sz w:val="26"/>
          <w:szCs w:val="26"/>
        </w:rPr>
        <w:lastRenderedPageBreak/>
        <w:t xml:space="preserve">Hur mycket lirkande och trugande och avledande är det rimligt att personalen ägnar sig åt för att få exempelvis dementa patienter att ta sina tabletter? </w:t>
      </w:r>
    </w:p>
    <w:p w14:paraId="12ABAF3C" w14:textId="77777777" w:rsidR="00466AB6" w:rsidRPr="008465F7" w:rsidRDefault="00466AB6">
      <w:pPr>
        <w:rPr>
          <w:rFonts w:ascii="Times New Roman" w:hAnsi="Times New Roman" w:cs="Times New Roman"/>
          <w:sz w:val="26"/>
          <w:szCs w:val="26"/>
        </w:rPr>
      </w:pPr>
    </w:p>
    <w:p w14:paraId="5F6E5941" w14:textId="3942F775" w:rsidR="00466AB6" w:rsidRPr="007A0F6A" w:rsidRDefault="00B86182">
      <w:pPr>
        <w:rPr>
          <w:rFonts w:ascii="Times New Roman" w:hAnsi="Times New Roman" w:cs="Times New Roman"/>
          <w:sz w:val="26"/>
          <w:szCs w:val="26"/>
          <w:lang w:val="en-US"/>
        </w:rPr>
      </w:pPr>
      <w:r w:rsidRPr="007A0F6A">
        <w:rPr>
          <w:rFonts w:ascii="Times New Roman" w:hAnsi="Times New Roman" w:cs="Times New Roman"/>
          <w:sz w:val="26"/>
          <w:szCs w:val="26"/>
          <w:lang w:val="en-US"/>
        </w:rPr>
        <w:t>REFERENSER</w:t>
      </w:r>
    </w:p>
    <w:p w14:paraId="591C1E8A" w14:textId="77777777" w:rsidR="00B86182" w:rsidRPr="007A0F6A" w:rsidRDefault="00B86182">
      <w:pPr>
        <w:rPr>
          <w:rFonts w:ascii="Times New Roman" w:hAnsi="Times New Roman" w:cs="Times New Roman"/>
          <w:sz w:val="26"/>
          <w:szCs w:val="26"/>
          <w:lang w:val="en-US"/>
        </w:rPr>
      </w:pPr>
    </w:p>
    <w:p w14:paraId="2762EA65" w14:textId="77777777" w:rsidR="00466AB6" w:rsidRPr="008465F7" w:rsidRDefault="00466AB6" w:rsidP="007A00DB">
      <w:pPr>
        <w:pStyle w:val="EndNoteBibliography"/>
        <w:spacing w:after="0"/>
        <w:ind w:left="720" w:hanging="720"/>
        <w:rPr>
          <w:rFonts w:ascii="Times New Roman" w:hAnsi="Times New Roman" w:cs="Times New Roman"/>
          <w:sz w:val="26"/>
          <w:szCs w:val="26"/>
        </w:rPr>
      </w:pPr>
      <w:r w:rsidRPr="008465F7">
        <w:rPr>
          <w:rFonts w:ascii="Times New Roman" w:hAnsi="Times New Roman" w:cs="Times New Roman"/>
          <w:sz w:val="26"/>
          <w:szCs w:val="26"/>
        </w:rPr>
        <w:t xml:space="preserve">BEAUCHAMP, T. L. &amp; CHILDRESS, J. F. 2013. </w:t>
      </w:r>
      <w:r w:rsidRPr="008465F7">
        <w:rPr>
          <w:rFonts w:ascii="Times New Roman" w:hAnsi="Times New Roman" w:cs="Times New Roman"/>
          <w:i/>
          <w:sz w:val="26"/>
          <w:szCs w:val="26"/>
        </w:rPr>
        <w:t xml:space="preserve">Principles of biomedical ethics, </w:t>
      </w:r>
      <w:r w:rsidRPr="008465F7">
        <w:rPr>
          <w:rFonts w:ascii="Times New Roman" w:hAnsi="Times New Roman" w:cs="Times New Roman"/>
          <w:sz w:val="26"/>
          <w:szCs w:val="26"/>
        </w:rPr>
        <w:t>New York, Oxford University Press.</w:t>
      </w:r>
    </w:p>
    <w:p w14:paraId="18C6E356" w14:textId="77777777" w:rsidR="00466AB6" w:rsidRPr="008465F7" w:rsidRDefault="00466AB6" w:rsidP="007A00DB">
      <w:pPr>
        <w:pStyle w:val="EndNoteBibliography"/>
        <w:spacing w:after="0"/>
        <w:ind w:left="720" w:hanging="720"/>
        <w:rPr>
          <w:rFonts w:ascii="Times New Roman" w:hAnsi="Times New Roman" w:cs="Times New Roman"/>
          <w:sz w:val="26"/>
          <w:szCs w:val="26"/>
        </w:rPr>
      </w:pPr>
      <w:r w:rsidRPr="008465F7">
        <w:rPr>
          <w:rFonts w:ascii="Times New Roman" w:hAnsi="Times New Roman" w:cs="Times New Roman"/>
          <w:sz w:val="26"/>
          <w:szCs w:val="26"/>
          <w:lang w:val="sv-SE"/>
        </w:rPr>
        <w:t xml:space="preserve">GANZINI, L., VOLICER, L., NELSON, W. A., FOX, E. &amp; DERSE, A. R. 2005. </w:t>
      </w:r>
      <w:r w:rsidRPr="008465F7">
        <w:rPr>
          <w:rFonts w:ascii="Times New Roman" w:hAnsi="Times New Roman" w:cs="Times New Roman"/>
          <w:sz w:val="26"/>
          <w:szCs w:val="26"/>
        </w:rPr>
        <w:t xml:space="preserve">Ten myths about decision-making capacity. </w:t>
      </w:r>
      <w:r w:rsidRPr="008465F7">
        <w:rPr>
          <w:rFonts w:ascii="Times New Roman" w:hAnsi="Times New Roman" w:cs="Times New Roman"/>
          <w:i/>
          <w:sz w:val="26"/>
          <w:szCs w:val="26"/>
        </w:rPr>
        <w:t>Journal of the American Medical Directors Association,</w:t>
      </w:r>
      <w:r w:rsidRPr="008465F7">
        <w:rPr>
          <w:rFonts w:ascii="Times New Roman" w:hAnsi="Times New Roman" w:cs="Times New Roman"/>
          <w:sz w:val="26"/>
          <w:szCs w:val="26"/>
        </w:rPr>
        <w:t xml:space="preserve"> 6</w:t>
      </w:r>
      <w:r w:rsidRPr="008465F7">
        <w:rPr>
          <w:rFonts w:ascii="Times New Roman" w:hAnsi="Times New Roman" w:cs="Times New Roman"/>
          <w:b/>
          <w:sz w:val="26"/>
          <w:szCs w:val="26"/>
        </w:rPr>
        <w:t>,</w:t>
      </w:r>
      <w:r w:rsidRPr="008465F7">
        <w:rPr>
          <w:rFonts w:ascii="Times New Roman" w:hAnsi="Times New Roman" w:cs="Times New Roman"/>
          <w:sz w:val="26"/>
          <w:szCs w:val="26"/>
        </w:rPr>
        <w:t xml:space="preserve"> S100-S104.</w:t>
      </w:r>
    </w:p>
    <w:p w14:paraId="210C0807" w14:textId="77777777" w:rsidR="00466AB6" w:rsidRPr="008465F7" w:rsidRDefault="00466AB6" w:rsidP="007A00DB">
      <w:pPr>
        <w:pStyle w:val="EndNoteBibliography"/>
        <w:spacing w:after="0"/>
        <w:ind w:left="720" w:hanging="720"/>
        <w:rPr>
          <w:rFonts w:ascii="Times New Roman" w:hAnsi="Times New Roman" w:cs="Times New Roman"/>
          <w:sz w:val="26"/>
          <w:szCs w:val="26"/>
        </w:rPr>
      </w:pPr>
      <w:r w:rsidRPr="008465F7">
        <w:rPr>
          <w:rFonts w:ascii="Times New Roman" w:hAnsi="Times New Roman" w:cs="Times New Roman"/>
          <w:sz w:val="26"/>
          <w:szCs w:val="26"/>
        </w:rPr>
        <w:t xml:space="preserve">HERMANN, H., FEUZ, M., TRACHSEL, M. &amp; BILLER-ANDORNO, N. 2020. Decision-making capacity: from testing to evaluation. </w:t>
      </w:r>
      <w:r w:rsidRPr="008465F7">
        <w:rPr>
          <w:rFonts w:ascii="Times New Roman" w:hAnsi="Times New Roman" w:cs="Times New Roman"/>
          <w:i/>
          <w:sz w:val="26"/>
          <w:szCs w:val="26"/>
        </w:rPr>
        <w:t>Medicine, health care, and philosophy</w:t>
      </w:r>
      <w:r w:rsidRPr="008465F7">
        <w:rPr>
          <w:rFonts w:ascii="Times New Roman" w:hAnsi="Times New Roman" w:cs="Times New Roman"/>
          <w:sz w:val="26"/>
          <w:szCs w:val="26"/>
        </w:rPr>
        <w:t>.</w:t>
      </w:r>
    </w:p>
    <w:p w14:paraId="49654E7E" w14:textId="4662C820" w:rsidR="00AB73A4" w:rsidRDefault="00AB73A4" w:rsidP="007A00DB">
      <w:pPr>
        <w:pStyle w:val="EndNoteBibliography"/>
        <w:spacing w:after="0"/>
        <w:ind w:left="720" w:hanging="720"/>
        <w:rPr>
          <w:rFonts w:ascii="Times New Roman" w:hAnsi="Times New Roman" w:cs="Times New Roman"/>
          <w:sz w:val="26"/>
          <w:szCs w:val="26"/>
        </w:rPr>
      </w:pPr>
      <w:r w:rsidRPr="00AB73A4">
        <w:rPr>
          <w:rFonts w:ascii="Times New Roman" w:hAnsi="Times New Roman" w:cs="Times New Roman"/>
          <w:sz w:val="26"/>
          <w:szCs w:val="26"/>
        </w:rPr>
        <w:t>HOGE STEVEN K, POYTHRESS NORMAN, BONNIE RICHARD J, MONAHAN JOHN, EISENBERG MARLENE, FEUCHT-HAVIAR THOMAS.</w:t>
      </w:r>
      <w:r w:rsidRPr="00AB73A4">
        <w:rPr>
          <w:rFonts w:ascii="Times New Roman" w:hAnsi="Times New Roman" w:cs="Times New Roman"/>
          <w:sz w:val="26"/>
          <w:szCs w:val="26"/>
        </w:rPr>
        <w:t xml:space="preserve"> The MacArthur adjudicative competence study: Diagnosis, psychopathology, and competence-related abilities. Behavioral Sciences &amp; the Law. 1997;15(3):329–345. </w:t>
      </w:r>
    </w:p>
    <w:p w14:paraId="659CA758" w14:textId="6B738294" w:rsidR="00466AB6" w:rsidRPr="008465F7" w:rsidRDefault="00466AB6" w:rsidP="007A00DB">
      <w:pPr>
        <w:pStyle w:val="EndNoteBibliography"/>
        <w:spacing w:after="0"/>
        <w:ind w:left="720" w:hanging="720"/>
        <w:rPr>
          <w:rFonts w:ascii="Times New Roman" w:hAnsi="Times New Roman" w:cs="Times New Roman"/>
          <w:sz w:val="26"/>
          <w:szCs w:val="26"/>
        </w:rPr>
      </w:pPr>
      <w:r w:rsidRPr="008465F7">
        <w:rPr>
          <w:rFonts w:ascii="Times New Roman" w:hAnsi="Times New Roman" w:cs="Times New Roman"/>
          <w:sz w:val="26"/>
          <w:szCs w:val="26"/>
        </w:rPr>
        <w:t xml:space="preserve">JONSEN, A. &amp; SIEGLER, M. 2010. </w:t>
      </w:r>
      <w:r w:rsidRPr="008465F7">
        <w:rPr>
          <w:rFonts w:ascii="Times New Roman" w:hAnsi="Times New Roman" w:cs="Times New Roman"/>
          <w:i/>
          <w:sz w:val="26"/>
          <w:szCs w:val="26"/>
        </w:rPr>
        <w:t xml:space="preserve">Clinical ethics : a practical approach to ethical decisions in clinical medicine, </w:t>
      </w:r>
      <w:r w:rsidRPr="008465F7">
        <w:rPr>
          <w:rFonts w:ascii="Times New Roman" w:hAnsi="Times New Roman" w:cs="Times New Roman"/>
          <w:sz w:val="26"/>
          <w:szCs w:val="26"/>
        </w:rPr>
        <w:t>New York, N.Y, New York, N.Y. : McGraw-Hill Education LLC.</w:t>
      </w:r>
    </w:p>
    <w:p w14:paraId="45CCBAA7" w14:textId="77777777" w:rsidR="00466AB6" w:rsidRPr="008465F7" w:rsidRDefault="00466AB6" w:rsidP="007A00DB">
      <w:pPr>
        <w:pStyle w:val="EndNoteBibliography"/>
        <w:spacing w:after="0"/>
        <w:ind w:left="720" w:hanging="720"/>
        <w:rPr>
          <w:rFonts w:ascii="Times New Roman" w:hAnsi="Times New Roman" w:cs="Times New Roman"/>
          <w:sz w:val="26"/>
          <w:szCs w:val="26"/>
        </w:rPr>
      </w:pPr>
      <w:r w:rsidRPr="008465F7">
        <w:rPr>
          <w:rFonts w:ascii="Times New Roman" w:hAnsi="Times New Roman" w:cs="Times New Roman"/>
          <w:sz w:val="26"/>
          <w:szCs w:val="26"/>
        </w:rPr>
        <w:t xml:space="preserve">LAMONT, S., JEON, Y.-H. &amp; CHIARELLA, M. 2013. Assessing patient capacity to consent to treatment: an integrative review of instruments and tools. </w:t>
      </w:r>
      <w:r w:rsidRPr="008465F7">
        <w:rPr>
          <w:rFonts w:ascii="Times New Roman" w:hAnsi="Times New Roman" w:cs="Times New Roman"/>
          <w:i/>
          <w:sz w:val="26"/>
          <w:szCs w:val="26"/>
        </w:rPr>
        <w:t>Journal of Clinical Nursing,</w:t>
      </w:r>
      <w:r w:rsidRPr="008465F7">
        <w:rPr>
          <w:rFonts w:ascii="Times New Roman" w:hAnsi="Times New Roman" w:cs="Times New Roman"/>
          <w:sz w:val="26"/>
          <w:szCs w:val="26"/>
        </w:rPr>
        <w:t xml:space="preserve"> 22</w:t>
      </w:r>
      <w:r w:rsidRPr="008465F7">
        <w:rPr>
          <w:rFonts w:ascii="Times New Roman" w:hAnsi="Times New Roman" w:cs="Times New Roman"/>
          <w:b/>
          <w:sz w:val="26"/>
          <w:szCs w:val="26"/>
        </w:rPr>
        <w:t>,</w:t>
      </w:r>
      <w:r w:rsidRPr="008465F7">
        <w:rPr>
          <w:rFonts w:ascii="Times New Roman" w:hAnsi="Times New Roman" w:cs="Times New Roman"/>
          <w:sz w:val="26"/>
          <w:szCs w:val="26"/>
        </w:rPr>
        <w:t xml:space="preserve"> 2387-2403.</w:t>
      </w:r>
    </w:p>
    <w:p w14:paraId="5A2170C8" w14:textId="77777777" w:rsidR="00466AB6" w:rsidRPr="008465F7" w:rsidRDefault="00466AB6" w:rsidP="007A00DB">
      <w:pPr>
        <w:pStyle w:val="EndNoteBibliography"/>
        <w:spacing w:after="0"/>
        <w:ind w:left="720" w:hanging="720"/>
        <w:rPr>
          <w:rFonts w:ascii="Times New Roman" w:hAnsi="Times New Roman" w:cs="Times New Roman"/>
          <w:sz w:val="26"/>
          <w:szCs w:val="26"/>
        </w:rPr>
      </w:pPr>
      <w:r w:rsidRPr="008465F7">
        <w:rPr>
          <w:rFonts w:ascii="Times New Roman" w:hAnsi="Times New Roman" w:cs="Times New Roman"/>
          <w:sz w:val="26"/>
          <w:szCs w:val="26"/>
        </w:rPr>
        <w:t xml:space="preserve">LAWLOR, R. 2016. Cake or death? Ending confusions about asymmetries between consent and refusal. </w:t>
      </w:r>
      <w:r w:rsidRPr="008465F7">
        <w:rPr>
          <w:rFonts w:ascii="Times New Roman" w:hAnsi="Times New Roman" w:cs="Times New Roman"/>
          <w:i/>
          <w:sz w:val="26"/>
          <w:szCs w:val="26"/>
        </w:rPr>
        <w:t>Journal of medical ethics,</w:t>
      </w:r>
      <w:r w:rsidRPr="008465F7">
        <w:rPr>
          <w:rFonts w:ascii="Times New Roman" w:hAnsi="Times New Roman" w:cs="Times New Roman"/>
          <w:sz w:val="26"/>
          <w:szCs w:val="26"/>
        </w:rPr>
        <w:t xml:space="preserve"> 42</w:t>
      </w:r>
      <w:r w:rsidRPr="008465F7">
        <w:rPr>
          <w:rFonts w:ascii="Times New Roman" w:hAnsi="Times New Roman" w:cs="Times New Roman"/>
          <w:b/>
          <w:sz w:val="26"/>
          <w:szCs w:val="26"/>
        </w:rPr>
        <w:t>,</w:t>
      </w:r>
      <w:r w:rsidRPr="008465F7">
        <w:rPr>
          <w:rFonts w:ascii="Times New Roman" w:hAnsi="Times New Roman" w:cs="Times New Roman"/>
          <w:sz w:val="26"/>
          <w:szCs w:val="26"/>
        </w:rPr>
        <w:t xml:space="preserve"> 748-754.</w:t>
      </w:r>
    </w:p>
    <w:p w14:paraId="4FF099DF" w14:textId="77777777" w:rsidR="00466AB6" w:rsidRPr="008465F7" w:rsidRDefault="00466AB6" w:rsidP="007A00DB">
      <w:pPr>
        <w:pStyle w:val="EndNoteBibliography"/>
        <w:spacing w:after="0"/>
        <w:ind w:left="720" w:hanging="720"/>
        <w:rPr>
          <w:rFonts w:ascii="Times New Roman" w:hAnsi="Times New Roman" w:cs="Times New Roman"/>
          <w:sz w:val="26"/>
          <w:szCs w:val="26"/>
        </w:rPr>
      </w:pPr>
      <w:r w:rsidRPr="008465F7">
        <w:rPr>
          <w:rFonts w:ascii="Times New Roman" w:hAnsi="Times New Roman" w:cs="Times New Roman"/>
          <w:sz w:val="26"/>
          <w:szCs w:val="26"/>
        </w:rPr>
        <w:t xml:space="preserve">PENN, D., LANCELEY, A., PETRIE, A. &amp; NICHOLLS, J. 2020. Mental capacity assessment: a descriptive, cross-sectional study of what doctors think, know and do. </w:t>
      </w:r>
      <w:r w:rsidRPr="008465F7">
        <w:rPr>
          <w:rFonts w:ascii="Times New Roman" w:hAnsi="Times New Roman" w:cs="Times New Roman"/>
          <w:i/>
          <w:sz w:val="26"/>
          <w:szCs w:val="26"/>
        </w:rPr>
        <w:t>Journal of Medical Ethics</w:t>
      </w:r>
      <w:r w:rsidRPr="008465F7">
        <w:rPr>
          <w:rFonts w:ascii="Times New Roman" w:hAnsi="Times New Roman" w:cs="Times New Roman"/>
          <w:sz w:val="26"/>
          <w:szCs w:val="26"/>
        </w:rPr>
        <w:t>.</w:t>
      </w:r>
    </w:p>
    <w:p w14:paraId="5C4BEB75" w14:textId="77777777" w:rsidR="00466AB6" w:rsidRPr="008465F7" w:rsidRDefault="00466AB6" w:rsidP="007A00DB">
      <w:pPr>
        <w:pStyle w:val="EndNoteBibliography"/>
        <w:spacing w:after="0"/>
        <w:ind w:left="720" w:hanging="720"/>
        <w:rPr>
          <w:rFonts w:ascii="Times New Roman" w:hAnsi="Times New Roman" w:cs="Times New Roman"/>
          <w:sz w:val="26"/>
          <w:szCs w:val="26"/>
        </w:rPr>
      </w:pPr>
      <w:r w:rsidRPr="008465F7">
        <w:rPr>
          <w:rFonts w:ascii="Times New Roman" w:hAnsi="Times New Roman" w:cs="Times New Roman"/>
          <w:sz w:val="26"/>
          <w:szCs w:val="26"/>
        </w:rPr>
        <w:t xml:space="preserve">RHODES, R. 2019. Why not common morality? </w:t>
      </w:r>
      <w:r w:rsidRPr="008465F7">
        <w:rPr>
          <w:rFonts w:ascii="Times New Roman" w:hAnsi="Times New Roman" w:cs="Times New Roman"/>
          <w:i/>
          <w:sz w:val="26"/>
          <w:szCs w:val="26"/>
        </w:rPr>
        <w:t>Journal of Medical Ethics,</w:t>
      </w:r>
      <w:r w:rsidRPr="008465F7">
        <w:rPr>
          <w:rFonts w:ascii="Times New Roman" w:hAnsi="Times New Roman" w:cs="Times New Roman"/>
          <w:sz w:val="26"/>
          <w:szCs w:val="26"/>
        </w:rPr>
        <w:t xml:space="preserve"> 45</w:t>
      </w:r>
      <w:r w:rsidRPr="008465F7">
        <w:rPr>
          <w:rFonts w:ascii="Times New Roman" w:hAnsi="Times New Roman" w:cs="Times New Roman"/>
          <w:b/>
          <w:sz w:val="26"/>
          <w:szCs w:val="26"/>
        </w:rPr>
        <w:t>,</w:t>
      </w:r>
      <w:r w:rsidRPr="008465F7">
        <w:rPr>
          <w:rFonts w:ascii="Times New Roman" w:hAnsi="Times New Roman" w:cs="Times New Roman"/>
          <w:sz w:val="26"/>
          <w:szCs w:val="26"/>
        </w:rPr>
        <w:t xml:space="preserve"> 770-777.</w:t>
      </w:r>
    </w:p>
    <w:p w14:paraId="6794D379" w14:textId="77777777" w:rsidR="00466AB6" w:rsidRPr="008465F7" w:rsidRDefault="00466AB6" w:rsidP="007A00DB">
      <w:pPr>
        <w:pStyle w:val="EndNoteBibliography"/>
        <w:spacing w:after="0"/>
        <w:ind w:left="720" w:hanging="720"/>
        <w:rPr>
          <w:rFonts w:ascii="Times New Roman" w:hAnsi="Times New Roman" w:cs="Times New Roman"/>
          <w:sz w:val="26"/>
          <w:szCs w:val="26"/>
        </w:rPr>
      </w:pPr>
      <w:r w:rsidRPr="008465F7">
        <w:rPr>
          <w:rFonts w:ascii="Times New Roman" w:hAnsi="Times New Roman" w:cs="Times New Roman"/>
          <w:sz w:val="26"/>
          <w:szCs w:val="26"/>
        </w:rPr>
        <w:t xml:space="preserve">SANDMAN, L. &amp; KJELLSTRÖM, S. 2013. </w:t>
      </w:r>
      <w:r w:rsidRPr="008465F7">
        <w:rPr>
          <w:rFonts w:ascii="Times New Roman" w:hAnsi="Times New Roman" w:cs="Times New Roman"/>
          <w:sz w:val="26"/>
          <w:szCs w:val="26"/>
          <w:lang w:val="sv-SE"/>
        </w:rPr>
        <w:t xml:space="preserve">Etikboken. </w:t>
      </w:r>
      <w:r w:rsidRPr="008465F7">
        <w:rPr>
          <w:rFonts w:ascii="Times New Roman" w:hAnsi="Times New Roman" w:cs="Times New Roman"/>
          <w:i/>
          <w:sz w:val="26"/>
          <w:szCs w:val="26"/>
          <w:lang w:val="sv-SE"/>
        </w:rPr>
        <w:t xml:space="preserve">Etik för vårdande yrken. </w:t>
      </w:r>
      <w:r w:rsidRPr="008465F7">
        <w:rPr>
          <w:rFonts w:ascii="Times New Roman" w:hAnsi="Times New Roman" w:cs="Times New Roman"/>
          <w:i/>
          <w:sz w:val="26"/>
          <w:szCs w:val="26"/>
        </w:rPr>
        <w:t>Lund: Studentlitteratur</w:t>
      </w:r>
      <w:r w:rsidRPr="008465F7">
        <w:rPr>
          <w:rFonts w:ascii="Times New Roman" w:hAnsi="Times New Roman" w:cs="Times New Roman"/>
          <w:sz w:val="26"/>
          <w:szCs w:val="26"/>
        </w:rPr>
        <w:t>.</w:t>
      </w:r>
    </w:p>
    <w:p w14:paraId="5381BF58" w14:textId="77E943A6" w:rsidR="00466AB6" w:rsidRDefault="00466AB6" w:rsidP="007A00DB">
      <w:pPr>
        <w:pStyle w:val="EndNoteBibliography"/>
        <w:spacing w:after="0"/>
        <w:ind w:left="720" w:hanging="720"/>
        <w:rPr>
          <w:rFonts w:ascii="Times New Roman" w:hAnsi="Times New Roman" w:cs="Times New Roman"/>
          <w:sz w:val="26"/>
          <w:szCs w:val="26"/>
        </w:rPr>
      </w:pPr>
      <w:r w:rsidRPr="008465F7">
        <w:rPr>
          <w:rFonts w:ascii="Times New Roman" w:hAnsi="Times New Roman" w:cs="Times New Roman"/>
          <w:sz w:val="26"/>
          <w:szCs w:val="26"/>
        </w:rPr>
        <w:t xml:space="preserve">SJÖSTRAND, M. 2013. </w:t>
      </w:r>
      <w:r w:rsidRPr="008465F7">
        <w:rPr>
          <w:rFonts w:ascii="Times New Roman" w:hAnsi="Times New Roman" w:cs="Times New Roman"/>
          <w:i/>
          <w:sz w:val="26"/>
          <w:szCs w:val="26"/>
        </w:rPr>
        <w:t>Autonomy and decision-making capacity: studies on the ethics of self-determination in healthcare</w:t>
      </w:r>
      <w:r w:rsidRPr="008465F7">
        <w:rPr>
          <w:rFonts w:ascii="Times New Roman" w:hAnsi="Times New Roman" w:cs="Times New Roman"/>
          <w:sz w:val="26"/>
          <w:szCs w:val="26"/>
        </w:rPr>
        <w:t>, Inst för lärande, informatik, management och etik/Dept of Learning, Informatics, Management and Ethics.</w:t>
      </w:r>
    </w:p>
    <w:p w14:paraId="57A4EF49" w14:textId="77777777" w:rsidR="00AB73A4" w:rsidRDefault="00AB73A4" w:rsidP="000C7101">
      <w:pPr>
        <w:pStyle w:val="EndNoteBibliography"/>
        <w:ind w:left="720" w:hanging="720"/>
        <w:rPr>
          <w:rFonts w:ascii="Times New Roman" w:hAnsi="Times New Roman" w:cs="Times New Roman"/>
          <w:sz w:val="26"/>
          <w:szCs w:val="26"/>
          <w:lang w:val="sv-SE"/>
        </w:rPr>
      </w:pPr>
      <w:r>
        <w:rPr>
          <w:rFonts w:ascii="Times New Roman" w:hAnsi="Times New Roman" w:cs="Times New Roman"/>
          <w:sz w:val="26"/>
          <w:szCs w:val="26"/>
          <w:lang w:val="sv-SE"/>
        </w:rPr>
        <w:t>SOCIALSTYRELSEN 2011. Om att ge eller inte ge livsuppehållande behandling</w:t>
      </w:r>
    </w:p>
    <w:p w14:paraId="4DF73568" w14:textId="5786562D" w:rsidR="000C7101" w:rsidRDefault="000C7101" w:rsidP="000C7101">
      <w:pPr>
        <w:pStyle w:val="EndNoteBibliography"/>
        <w:ind w:left="720" w:hanging="720"/>
        <w:rPr>
          <w:rFonts w:ascii="Times New Roman" w:hAnsi="Times New Roman" w:cs="Times New Roman"/>
          <w:sz w:val="26"/>
          <w:szCs w:val="26"/>
          <w:lang w:val="sv-SE"/>
        </w:rPr>
      </w:pPr>
      <w:r>
        <w:rPr>
          <w:rFonts w:ascii="Times New Roman" w:hAnsi="Times New Roman" w:cs="Times New Roman"/>
          <w:sz w:val="26"/>
          <w:szCs w:val="26"/>
          <w:lang w:val="sv-SE"/>
        </w:rPr>
        <w:t>SOCIALSTYRELSEN</w:t>
      </w:r>
      <w:r w:rsidRPr="008465F7">
        <w:rPr>
          <w:rFonts w:ascii="Times New Roman" w:hAnsi="Times New Roman" w:cs="Times New Roman"/>
          <w:sz w:val="26"/>
          <w:szCs w:val="26"/>
          <w:lang w:val="sv-SE"/>
        </w:rPr>
        <w:t xml:space="preserve"> 2015. Din skyldighet att informera och göra patienten delaktig [Your obligation to inform and involve the patient].</w:t>
      </w:r>
    </w:p>
    <w:p w14:paraId="33966C82" w14:textId="6852DD0D" w:rsidR="00466AB6" w:rsidRPr="008465F7" w:rsidRDefault="00466AB6" w:rsidP="000C7101">
      <w:pPr>
        <w:pStyle w:val="EndNoteBibliography"/>
        <w:ind w:left="720" w:hanging="720"/>
        <w:rPr>
          <w:rFonts w:ascii="Times New Roman" w:hAnsi="Times New Roman" w:cs="Times New Roman"/>
          <w:sz w:val="26"/>
          <w:szCs w:val="26"/>
          <w:lang w:val="sv-SE"/>
        </w:rPr>
      </w:pPr>
      <w:r w:rsidRPr="008465F7">
        <w:rPr>
          <w:rFonts w:ascii="Times New Roman" w:hAnsi="Times New Roman" w:cs="Times New Roman"/>
          <w:sz w:val="26"/>
          <w:szCs w:val="26"/>
          <w:lang w:val="sv-SE"/>
        </w:rPr>
        <w:t xml:space="preserve">TONELLI, M. R. &amp; MISAK, C. J. 2010. </w:t>
      </w:r>
      <w:r w:rsidRPr="008465F7">
        <w:rPr>
          <w:rFonts w:ascii="Times New Roman" w:hAnsi="Times New Roman" w:cs="Times New Roman"/>
          <w:sz w:val="26"/>
          <w:szCs w:val="26"/>
        </w:rPr>
        <w:t xml:space="preserve">Compromised autonomy and the seriously ill patient. </w:t>
      </w:r>
      <w:r w:rsidRPr="008465F7">
        <w:rPr>
          <w:rFonts w:ascii="Times New Roman" w:hAnsi="Times New Roman" w:cs="Times New Roman"/>
          <w:i/>
          <w:sz w:val="26"/>
          <w:szCs w:val="26"/>
          <w:lang w:val="sv-SE"/>
        </w:rPr>
        <w:t>Chest,</w:t>
      </w:r>
      <w:r w:rsidRPr="008465F7">
        <w:rPr>
          <w:rFonts w:ascii="Times New Roman" w:hAnsi="Times New Roman" w:cs="Times New Roman"/>
          <w:sz w:val="26"/>
          <w:szCs w:val="26"/>
          <w:lang w:val="sv-SE"/>
        </w:rPr>
        <w:t xml:space="preserve"> 137</w:t>
      </w:r>
      <w:r w:rsidRPr="008465F7">
        <w:rPr>
          <w:rFonts w:ascii="Times New Roman" w:hAnsi="Times New Roman" w:cs="Times New Roman"/>
          <w:b/>
          <w:sz w:val="26"/>
          <w:szCs w:val="26"/>
          <w:lang w:val="sv-SE"/>
        </w:rPr>
        <w:t>,</w:t>
      </w:r>
      <w:r w:rsidRPr="008465F7">
        <w:rPr>
          <w:rFonts w:ascii="Times New Roman" w:hAnsi="Times New Roman" w:cs="Times New Roman"/>
          <w:sz w:val="26"/>
          <w:szCs w:val="26"/>
          <w:lang w:val="sv-SE"/>
        </w:rPr>
        <w:t xml:space="preserve"> 926-931.</w:t>
      </w:r>
    </w:p>
    <w:p w14:paraId="659C26D6" w14:textId="77777777" w:rsidR="00466AB6" w:rsidRPr="008465F7" w:rsidRDefault="00466AB6">
      <w:pPr>
        <w:rPr>
          <w:rFonts w:ascii="Times New Roman" w:hAnsi="Times New Roman" w:cs="Times New Roman"/>
          <w:sz w:val="26"/>
          <w:szCs w:val="26"/>
        </w:rPr>
      </w:pPr>
    </w:p>
    <w:p w14:paraId="328AD2D5" w14:textId="77777777" w:rsidR="007A00DB" w:rsidRPr="008465F7" w:rsidRDefault="007A00DB">
      <w:pPr>
        <w:rPr>
          <w:rFonts w:ascii="Times New Roman" w:hAnsi="Times New Roman" w:cs="Times New Roman"/>
          <w:sz w:val="26"/>
          <w:szCs w:val="26"/>
        </w:rPr>
      </w:pPr>
    </w:p>
    <w:sectPr w:rsidR="007A00DB" w:rsidRPr="008465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F4853"/>
    <w:multiLevelType w:val="hybridMultilevel"/>
    <w:tmpl w:val="CD92CE50"/>
    <w:lvl w:ilvl="0" w:tplc="E9B202F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466AB6"/>
    <w:rsid w:val="000C7101"/>
    <w:rsid w:val="002F7E17"/>
    <w:rsid w:val="00347803"/>
    <w:rsid w:val="00466AB6"/>
    <w:rsid w:val="00524754"/>
    <w:rsid w:val="006B17D0"/>
    <w:rsid w:val="007A00DB"/>
    <w:rsid w:val="007A0F6A"/>
    <w:rsid w:val="008465F7"/>
    <w:rsid w:val="00905213"/>
    <w:rsid w:val="009322DE"/>
    <w:rsid w:val="00AB73A4"/>
    <w:rsid w:val="00B86182"/>
    <w:rsid w:val="00DA35E3"/>
    <w:rsid w:val="00E221DA"/>
    <w:rsid w:val="00EF0222"/>
    <w:rsid w:val="00FB66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EAD4"/>
  <w15:chartTrackingRefBased/>
  <w15:docId w15:val="{A69E9059-715A-4858-A58A-BAB0F18A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466AB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66AB6"/>
    <w:rPr>
      <w:rFonts w:ascii="Calibri" w:hAnsi="Calibri" w:cs="Calibri"/>
      <w:noProof/>
      <w:lang w:val="en-US"/>
    </w:rPr>
  </w:style>
  <w:style w:type="paragraph" w:customStyle="1" w:styleId="EndNoteBibliography">
    <w:name w:val="EndNote Bibliography"/>
    <w:basedOn w:val="Normal"/>
    <w:link w:val="EndNoteBibliographyChar"/>
    <w:rsid w:val="00466AB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66AB6"/>
    <w:rPr>
      <w:rFonts w:ascii="Calibri" w:hAnsi="Calibri" w:cs="Calibri"/>
      <w:noProof/>
      <w:lang w:val="en-US"/>
    </w:rPr>
  </w:style>
  <w:style w:type="table" w:styleId="TableGrid">
    <w:name w:val="Table Grid"/>
    <w:basedOn w:val="TableNormal"/>
    <w:uiPriority w:val="59"/>
    <w:rsid w:val="00466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AB6"/>
    <w:pPr>
      <w:ind w:left="720"/>
      <w:contextualSpacing/>
    </w:pPr>
  </w:style>
  <w:style w:type="character" w:styleId="CommentReference">
    <w:name w:val="annotation reference"/>
    <w:basedOn w:val="DefaultParagraphFont"/>
    <w:uiPriority w:val="99"/>
    <w:semiHidden/>
    <w:unhideWhenUsed/>
    <w:rsid w:val="00466AB6"/>
    <w:rPr>
      <w:sz w:val="16"/>
      <w:szCs w:val="16"/>
    </w:rPr>
  </w:style>
  <w:style w:type="paragraph" w:styleId="CommentText">
    <w:name w:val="annotation text"/>
    <w:basedOn w:val="Normal"/>
    <w:link w:val="CommentTextChar"/>
    <w:uiPriority w:val="99"/>
    <w:semiHidden/>
    <w:unhideWhenUsed/>
    <w:rsid w:val="00466AB6"/>
    <w:pPr>
      <w:spacing w:line="240" w:lineRule="auto"/>
    </w:pPr>
    <w:rPr>
      <w:sz w:val="20"/>
      <w:szCs w:val="20"/>
    </w:rPr>
  </w:style>
  <w:style w:type="character" w:customStyle="1" w:styleId="CommentTextChar">
    <w:name w:val="Comment Text Char"/>
    <w:basedOn w:val="DefaultParagraphFont"/>
    <w:link w:val="CommentText"/>
    <w:uiPriority w:val="99"/>
    <w:semiHidden/>
    <w:rsid w:val="00466AB6"/>
    <w:rPr>
      <w:sz w:val="20"/>
      <w:szCs w:val="20"/>
    </w:rPr>
  </w:style>
  <w:style w:type="paragraph" w:styleId="CommentSubject">
    <w:name w:val="annotation subject"/>
    <w:basedOn w:val="CommentText"/>
    <w:next w:val="CommentText"/>
    <w:link w:val="CommentSubjectChar"/>
    <w:uiPriority w:val="99"/>
    <w:semiHidden/>
    <w:unhideWhenUsed/>
    <w:rsid w:val="00466AB6"/>
    <w:rPr>
      <w:b/>
      <w:bCs/>
    </w:rPr>
  </w:style>
  <w:style w:type="character" w:customStyle="1" w:styleId="CommentSubjectChar">
    <w:name w:val="Comment Subject Char"/>
    <w:basedOn w:val="CommentTextChar"/>
    <w:link w:val="CommentSubject"/>
    <w:uiPriority w:val="99"/>
    <w:semiHidden/>
    <w:rsid w:val="00466AB6"/>
    <w:rPr>
      <w:b/>
      <w:bCs/>
      <w:sz w:val="20"/>
      <w:szCs w:val="20"/>
    </w:rPr>
  </w:style>
  <w:style w:type="paragraph" w:styleId="BalloonText">
    <w:name w:val="Balloon Text"/>
    <w:basedOn w:val="Normal"/>
    <w:link w:val="BalloonTextChar"/>
    <w:uiPriority w:val="99"/>
    <w:semiHidden/>
    <w:unhideWhenUsed/>
    <w:rsid w:val="00466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FF4E9-D2AE-43A9-B121-D838C427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3000</Words>
  <Characters>15901</Characters>
  <Application>Microsoft Office Word</Application>
  <DocSecurity>0</DocSecurity>
  <Lines>132</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Region Kronoberg</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Björk Joar SHV onkologkliniken läk</dc:creator>
  <cp:keywords/>
  <dc:description/>
  <cp:lastModifiedBy>Joar Björk</cp:lastModifiedBy>
  <cp:revision>7</cp:revision>
  <dcterms:created xsi:type="dcterms:W3CDTF">2021-01-19T15:59:00Z</dcterms:created>
  <dcterms:modified xsi:type="dcterms:W3CDTF">2021-01-21T19:37:00Z</dcterms:modified>
</cp:coreProperties>
</file>