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4F" w:rsidRPr="001C0409" w:rsidRDefault="00A91003" w:rsidP="001C0409">
      <w:pPr>
        <w:spacing w:after="120" w:line="240" w:lineRule="auto"/>
        <w:rPr>
          <w:rFonts w:ascii="Arial" w:hAnsi="Arial" w:cs="Arial"/>
          <w:sz w:val="44"/>
          <w:szCs w:val="44"/>
        </w:rPr>
      </w:pPr>
      <w:r w:rsidRPr="001C0409">
        <w:rPr>
          <w:rFonts w:ascii="Arial" w:hAnsi="Arial" w:cs="Arial"/>
          <w:b/>
          <w:sz w:val="44"/>
          <w:szCs w:val="44"/>
        </w:rPr>
        <w:t>Funktionsbeskrivning</w:t>
      </w:r>
      <w:r w:rsidR="00211469">
        <w:rPr>
          <w:rFonts w:ascii="Arial" w:hAnsi="Arial" w:cs="Arial"/>
          <w:b/>
          <w:sz w:val="44"/>
          <w:szCs w:val="44"/>
        </w:rPr>
        <w:t xml:space="preserve"> </w:t>
      </w:r>
      <w:r w:rsidR="00CD100B">
        <w:rPr>
          <w:rFonts w:ascii="Arial" w:hAnsi="Arial" w:cs="Arial"/>
          <w:b/>
          <w:sz w:val="44"/>
          <w:szCs w:val="44"/>
        </w:rPr>
        <w:t>pre</w:t>
      </w:r>
      <w:r w:rsidR="00211469">
        <w:rPr>
          <w:rFonts w:ascii="Arial" w:hAnsi="Arial" w:cs="Arial"/>
          <w:b/>
          <w:sz w:val="44"/>
          <w:szCs w:val="44"/>
        </w:rPr>
        <w:t>diabetes</w:t>
      </w:r>
    </w:p>
    <w:p w:rsidR="00A91003" w:rsidRPr="001C0409" w:rsidRDefault="00AD6DF8" w:rsidP="001C040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1C0409">
        <w:rPr>
          <w:rFonts w:ascii="Arial" w:hAnsi="Arial" w:cs="Arial"/>
          <w:b/>
          <w:sz w:val="28"/>
          <w:szCs w:val="28"/>
        </w:rPr>
        <w:t>Syft</w:t>
      </w:r>
      <w:r w:rsidR="00423984" w:rsidRPr="001C0409">
        <w:rPr>
          <w:rFonts w:ascii="Arial" w:hAnsi="Arial" w:cs="Arial"/>
          <w:b/>
          <w:sz w:val="28"/>
          <w:szCs w:val="28"/>
        </w:rPr>
        <w:t>e</w:t>
      </w:r>
    </w:p>
    <w:p w:rsidR="00AD6DF8" w:rsidRPr="001C0409" w:rsidRDefault="00AD6DF8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 xml:space="preserve">Säkerställa att </w:t>
      </w:r>
      <w:r w:rsidR="000C6A2C">
        <w:rPr>
          <w:rFonts w:ascii="Garamond" w:hAnsi="Garamond"/>
          <w:sz w:val="24"/>
          <w:szCs w:val="24"/>
        </w:rPr>
        <w:t>patienter med prediabetes</w:t>
      </w:r>
      <w:r w:rsidRPr="001C0409">
        <w:rPr>
          <w:rFonts w:ascii="Garamond" w:hAnsi="Garamond"/>
          <w:sz w:val="24"/>
          <w:szCs w:val="24"/>
        </w:rPr>
        <w:t xml:space="preserve"> erbjuds </w:t>
      </w:r>
      <w:r w:rsidR="00985CB5">
        <w:rPr>
          <w:rFonts w:ascii="Garamond" w:hAnsi="Garamond"/>
          <w:sz w:val="24"/>
          <w:szCs w:val="24"/>
        </w:rPr>
        <w:t xml:space="preserve">åtgärder och </w:t>
      </w:r>
      <w:r w:rsidRPr="001C0409">
        <w:rPr>
          <w:rFonts w:ascii="Garamond" w:hAnsi="Garamond"/>
          <w:sz w:val="24"/>
          <w:szCs w:val="24"/>
        </w:rPr>
        <w:t xml:space="preserve">uppföljning </w:t>
      </w:r>
      <w:r w:rsidR="000C6A2C">
        <w:rPr>
          <w:rFonts w:ascii="Garamond" w:hAnsi="Garamond"/>
          <w:sz w:val="24"/>
          <w:szCs w:val="24"/>
        </w:rPr>
        <w:t xml:space="preserve">gällande blodsockret </w:t>
      </w:r>
      <w:r w:rsidR="006528DC" w:rsidRPr="001C0409">
        <w:rPr>
          <w:rFonts w:ascii="Garamond" w:hAnsi="Garamond"/>
          <w:sz w:val="24"/>
          <w:szCs w:val="24"/>
        </w:rPr>
        <w:t xml:space="preserve">för att </w:t>
      </w:r>
      <w:r w:rsidR="00CD100B">
        <w:rPr>
          <w:rFonts w:ascii="Garamond" w:hAnsi="Garamond"/>
          <w:sz w:val="24"/>
          <w:szCs w:val="24"/>
        </w:rPr>
        <w:t>skjuta upp diabetesdebut</w:t>
      </w:r>
      <w:r w:rsidR="00D94BEC">
        <w:rPr>
          <w:rFonts w:ascii="Garamond" w:hAnsi="Garamond"/>
          <w:sz w:val="24"/>
          <w:szCs w:val="24"/>
        </w:rPr>
        <w:t xml:space="preserve"> och därmed förhindra</w:t>
      </w:r>
      <w:r w:rsidR="000C4A0C">
        <w:rPr>
          <w:rFonts w:ascii="Garamond" w:hAnsi="Garamond"/>
          <w:sz w:val="24"/>
          <w:szCs w:val="24"/>
        </w:rPr>
        <w:t xml:space="preserve">/skjuta upp eventuella framtida </w:t>
      </w:r>
      <w:r w:rsidR="00D94BEC">
        <w:rPr>
          <w:rFonts w:ascii="Garamond" w:hAnsi="Garamond"/>
          <w:sz w:val="24"/>
          <w:szCs w:val="24"/>
        </w:rPr>
        <w:t>komplikationer</w:t>
      </w:r>
      <w:r w:rsidR="006528DC" w:rsidRPr="001C0409">
        <w:rPr>
          <w:rFonts w:ascii="Garamond" w:hAnsi="Garamond"/>
          <w:sz w:val="24"/>
          <w:szCs w:val="24"/>
        </w:rPr>
        <w:t>.</w:t>
      </w:r>
      <w:r w:rsidR="009B7A59">
        <w:rPr>
          <w:rFonts w:ascii="Garamond" w:hAnsi="Garamond"/>
          <w:sz w:val="24"/>
          <w:szCs w:val="24"/>
        </w:rPr>
        <w:t xml:space="preserve"> </w:t>
      </w:r>
    </w:p>
    <w:p w:rsidR="006528DC" w:rsidRPr="001C0409" w:rsidRDefault="006528DC" w:rsidP="001C040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6528DC" w:rsidRPr="001C0409" w:rsidRDefault="006528DC" w:rsidP="001C040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1C0409">
        <w:rPr>
          <w:rFonts w:ascii="Arial" w:hAnsi="Arial" w:cs="Arial"/>
          <w:b/>
          <w:sz w:val="28"/>
          <w:szCs w:val="28"/>
        </w:rPr>
        <w:t>Diagnostik</w:t>
      </w:r>
    </w:p>
    <w:p w:rsidR="00CB6F03" w:rsidRDefault="009119C6" w:rsidP="00CB6F03">
      <w:pPr>
        <w:pStyle w:val="Liststycke"/>
        <w:numPr>
          <w:ilvl w:val="0"/>
          <w:numId w:val="10"/>
        </w:numPr>
        <w:spacing w:after="120" w:line="240" w:lineRule="auto"/>
        <w:rPr>
          <w:rFonts w:ascii="Garamond" w:hAnsi="Garamond"/>
        </w:rPr>
      </w:pPr>
      <w:r w:rsidRPr="00CB6F03">
        <w:rPr>
          <w:rFonts w:ascii="Garamond" w:hAnsi="Garamond"/>
        </w:rPr>
        <w:t>f</w:t>
      </w:r>
      <w:r w:rsidR="00310618" w:rsidRPr="00CB6F03">
        <w:rPr>
          <w:rFonts w:ascii="Garamond" w:hAnsi="Garamond"/>
        </w:rPr>
        <w:t>p-glu</w:t>
      </w:r>
      <w:r w:rsidR="00FF5A3E" w:rsidRPr="00CB6F03">
        <w:rPr>
          <w:rFonts w:ascii="Garamond" w:hAnsi="Garamond"/>
        </w:rPr>
        <w:t>k</w:t>
      </w:r>
      <w:r w:rsidR="00310618" w:rsidRPr="00CB6F03">
        <w:rPr>
          <w:rFonts w:ascii="Garamond" w:hAnsi="Garamond"/>
        </w:rPr>
        <w:t>os</w:t>
      </w:r>
      <w:r w:rsidR="00AE41D8" w:rsidRPr="00CB6F03">
        <w:rPr>
          <w:rFonts w:ascii="Garamond" w:hAnsi="Garamond"/>
        </w:rPr>
        <w:t xml:space="preserve"> 6,1-6,9mmol/l</w:t>
      </w:r>
    </w:p>
    <w:p w:rsidR="00CB6F03" w:rsidRDefault="00310618" w:rsidP="00CB6F03">
      <w:pPr>
        <w:pStyle w:val="Liststycke"/>
        <w:numPr>
          <w:ilvl w:val="0"/>
          <w:numId w:val="10"/>
        </w:numPr>
        <w:spacing w:after="120" w:line="240" w:lineRule="auto"/>
        <w:rPr>
          <w:rFonts w:ascii="Garamond" w:hAnsi="Garamond"/>
        </w:rPr>
      </w:pPr>
      <w:r w:rsidRPr="00CB6F03">
        <w:rPr>
          <w:rFonts w:ascii="Garamond" w:hAnsi="Garamond"/>
        </w:rPr>
        <w:t>HbA1c</w:t>
      </w:r>
      <w:r w:rsidR="00AE41D8" w:rsidRPr="00CB6F03">
        <w:rPr>
          <w:rFonts w:ascii="Garamond" w:hAnsi="Garamond"/>
        </w:rPr>
        <w:t xml:space="preserve"> 42-47</w:t>
      </w:r>
    </w:p>
    <w:p w:rsidR="00CB6F03" w:rsidRPr="002B76C2" w:rsidRDefault="00CB6F03" w:rsidP="00CB6F03">
      <w:pPr>
        <w:pStyle w:val="Liststycke"/>
        <w:numPr>
          <w:ilvl w:val="0"/>
          <w:numId w:val="10"/>
        </w:numPr>
        <w:spacing w:after="12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P-glukos kapillärt </w:t>
      </w:r>
      <w:r w:rsidRPr="00CB6F03">
        <w:rPr>
          <w:rFonts w:ascii="Garamond" w:hAnsi="Garamond"/>
        </w:rPr>
        <w:t>8,9-12,1</w:t>
      </w:r>
      <w:r>
        <w:rPr>
          <w:rFonts w:ascii="Garamond" w:hAnsi="Garamond"/>
        </w:rPr>
        <w:t xml:space="preserve"> </w:t>
      </w:r>
      <w:proofErr w:type="spellStart"/>
      <w:r w:rsidR="00D5163D" w:rsidRPr="00CB6F03">
        <w:rPr>
          <w:rFonts w:ascii="Garamond" w:hAnsi="Garamond"/>
        </w:rPr>
        <w:t>mmol</w:t>
      </w:r>
      <w:proofErr w:type="spellEnd"/>
      <w:r w:rsidR="00D5163D" w:rsidRPr="00CB6F03">
        <w:rPr>
          <w:rFonts w:ascii="Garamond" w:hAnsi="Garamond"/>
        </w:rPr>
        <w:t>/L</w:t>
      </w:r>
      <w:r>
        <w:rPr>
          <w:rFonts w:ascii="Garamond" w:hAnsi="Garamond"/>
        </w:rPr>
        <w:t xml:space="preserve"> eller </w:t>
      </w:r>
      <w:r w:rsidRPr="00CB6F03">
        <w:rPr>
          <w:rFonts w:ascii="Garamond" w:hAnsi="Garamond"/>
        </w:rPr>
        <w:t>venöst 7,8-11,0mmol/l</w:t>
      </w:r>
      <w:r w:rsidR="00D5163D" w:rsidRPr="00CB6F03">
        <w:rPr>
          <w:rFonts w:ascii="Garamond" w:hAnsi="Garamond"/>
        </w:rPr>
        <w:t xml:space="preserve"> 2 timmar efter oral </w:t>
      </w:r>
      <w:r w:rsidR="00D5163D" w:rsidRPr="002B76C2">
        <w:rPr>
          <w:rFonts w:ascii="Garamond" w:hAnsi="Garamond"/>
        </w:rPr>
        <w:t>glukostoleranstest</w:t>
      </w:r>
    </w:p>
    <w:p w:rsidR="006528DC" w:rsidRPr="002B76C2" w:rsidRDefault="00DA3D08" w:rsidP="00CB6F03">
      <w:pPr>
        <w:pStyle w:val="Liststycke"/>
        <w:numPr>
          <w:ilvl w:val="0"/>
          <w:numId w:val="10"/>
        </w:numPr>
        <w:spacing w:after="120" w:line="240" w:lineRule="auto"/>
        <w:rPr>
          <w:rFonts w:ascii="Garamond" w:hAnsi="Garamond"/>
        </w:rPr>
      </w:pPr>
      <w:r w:rsidRPr="002B76C2">
        <w:rPr>
          <w:rFonts w:ascii="Garamond" w:hAnsi="Garamond"/>
        </w:rPr>
        <w:t>Vid slumpvis p-glu</w:t>
      </w:r>
      <w:r w:rsidR="00CB6F03" w:rsidRPr="002B76C2">
        <w:rPr>
          <w:rFonts w:ascii="Garamond" w:hAnsi="Garamond"/>
        </w:rPr>
        <w:t>k</w:t>
      </w:r>
      <w:r w:rsidRPr="002B76C2">
        <w:rPr>
          <w:rFonts w:ascii="Garamond" w:hAnsi="Garamond"/>
        </w:rPr>
        <w:t xml:space="preserve">os </w:t>
      </w:r>
      <w:r w:rsidR="003C3244" w:rsidRPr="002B76C2">
        <w:rPr>
          <w:rFonts w:ascii="Garamond" w:hAnsi="Garamond"/>
        </w:rPr>
        <w:t>venöst 7,8-11,0mmol/l eller kapillärt 8,9-12,1</w:t>
      </w:r>
      <w:r w:rsidR="00CB6F03" w:rsidRPr="002B76C2">
        <w:rPr>
          <w:rFonts w:ascii="Garamond" w:hAnsi="Garamond"/>
        </w:rPr>
        <w:t xml:space="preserve"> </w:t>
      </w:r>
      <w:proofErr w:type="spellStart"/>
      <w:r w:rsidR="003C3244" w:rsidRPr="002B76C2">
        <w:rPr>
          <w:rFonts w:ascii="Garamond" w:hAnsi="Garamond"/>
        </w:rPr>
        <w:t>mmol</w:t>
      </w:r>
      <w:proofErr w:type="spellEnd"/>
      <w:r w:rsidR="003C3244" w:rsidRPr="002B76C2">
        <w:rPr>
          <w:rFonts w:ascii="Garamond" w:hAnsi="Garamond"/>
        </w:rPr>
        <w:t>/l</w:t>
      </w:r>
      <w:r w:rsidRPr="002B76C2">
        <w:rPr>
          <w:rFonts w:ascii="Garamond" w:hAnsi="Garamond"/>
        </w:rPr>
        <w:t xml:space="preserve"> tas fp-glu</w:t>
      </w:r>
      <w:r w:rsidR="003C3244" w:rsidRPr="002B76C2">
        <w:rPr>
          <w:rFonts w:ascii="Garamond" w:hAnsi="Garamond"/>
        </w:rPr>
        <w:t>k</w:t>
      </w:r>
      <w:r w:rsidRPr="002B76C2">
        <w:rPr>
          <w:rFonts w:ascii="Garamond" w:hAnsi="Garamond"/>
        </w:rPr>
        <w:t>os och HbA1c innan diagnos ställs</w:t>
      </w:r>
    </w:p>
    <w:p w:rsidR="00273C01" w:rsidRPr="002B76C2" w:rsidRDefault="00273C01" w:rsidP="00273C01">
      <w:pPr>
        <w:spacing w:after="120" w:line="240" w:lineRule="auto"/>
        <w:rPr>
          <w:rFonts w:ascii="Garamond" w:hAnsi="Garamond"/>
        </w:rPr>
      </w:pPr>
      <w:r w:rsidRPr="002B76C2">
        <w:rPr>
          <w:rFonts w:ascii="Garamond" w:hAnsi="Garamond"/>
        </w:rPr>
        <w:t>Precis som vid diagnos på diabetes krävs två värden av samma typ för att ställa diagnos på prediabetes</w:t>
      </w:r>
    </w:p>
    <w:p w:rsidR="001B1BDE" w:rsidRPr="001C0409" w:rsidRDefault="001B1BDE" w:rsidP="001C040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1B1BDE" w:rsidRPr="001C0409" w:rsidRDefault="001B1BDE" w:rsidP="001C040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1C0409">
        <w:rPr>
          <w:rFonts w:ascii="Arial" w:hAnsi="Arial" w:cs="Arial"/>
          <w:b/>
          <w:sz w:val="28"/>
          <w:szCs w:val="28"/>
        </w:rPr>
        <w:t>Genomförande</w:t>
      </w:r>
    </w:p>
    <w:p w:rsidR="00103C98" w:rsidRDefault="000C6A2C" w:rsidP="0037209C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Det finns stort värde i att tidigt vara aktiv med levnadsvaneförändringar hos patienter med prediabetes. </w:t>
      </w:r>
      <w:r w:rsidR="0037209C" w:rsidRPr="001C0409">
        <w:rPr>
          <w:rFonts w:ascii="Garamond" w:hAnsi="Garamond"/>
          <w:sz w:val="24"/>
          <w:szCs w:val="24"/>
        </w:rPr>
        <w:t>Vid första</w:t>
      </w:r>
      <w:r w:rsidR="0037209C">
        <w:rPr>
          <w:rFonts w:ascii="Garamond" w:hAnsi="Garamond"/>
          <w:sz w:val="24"/>
          <w:szCs w:val="24"/>
        </w:rPr>
        <w:t xml:space="preserve"> </w:t>
      </w:r>
      <w:r w:rsidR="0037209C" w:rsidRPr="001C0409">
        <w:rPr>
          <w:rFonts w:ascii="Garamond" w:hAnsi="Garamond"/>
          <w:sz w:val="24"/>
          <w:szCs w:val="24"/>
        </w:rPr>
        <w:t xml:space="preserve">kontrollen hos diabetessjuksköterska läggs </w:t>
      </w:r>
      <w:r w:rsidR="003C3244">
        <w:rPr>
          <w:rFonts w:ascii="Garamond" w:hAnsi="Garamond"/>
          <w:sz w:val="24"/>
          <w:szCs w:val="24"/>
        </w:rPr>
        <w:t xml:space="preserve">därför </w:t>
      </w:r>
      <w:r w:rsidR="0037209C" w:rsidRPr="001C0409">
        <w:rPr>
          <w:rFonts w:ascii="Garamond" w:hAnsi="Garamond"/>
          <w:sz w:val="24"/>
          <w:szCs w:val="24"/>
        </w:rPr>
        <w:t xml:space="preserve">stor vikt vid att informera om diabetessjukdomen och mål med </w:t>
      </w:r>
      <w:r w:rsidR="0037209C">
        <w:rPr>
          <w:rFonts w:ascii="Garamond" w:hAnsi="Garamond"/>
          <w:sz w:val="24"/>
          <w:szCs w:val="24"/>
        </w:rPr>
        <w:t>levnadsvanerekommendationerna</w:t>
      </w:r>
      <w:r w:rsidR="0037209C" w:rsidRPr="001C0409">
        <w:rPr>
          <w:rFonts w:ascii="Garamond" w:hAnsi="Garamond"/>
          <w:sz w:val="24"/>
          <w:szCs w:val="24"/>
        </w:rPr>
        <w:t xml:space="preserve"> samt svara på patientens funder</w:t>
      </w:r>
      <w:r w:rsidR="0037209C">
        <w:rPr>
          <w:rFonts w:ascii="Garamond" w:hAnsi="Garamond"/>
          <w:sz w:val="24"/>
          <w:szCs w:val="24"/>
        </w:rPr>
        <w:t>ingar</w:t>
      </w:r>
      <w:r w:rsidR="0037209C" w:rsidRPr="001C0409">
        <w:rPr>
          <w:rFonts w:ascii="Garamond" w:hAnsi="Garamond"/>
          <w:sz w:val="24"/>
          <w:szCs w:val="24"/>
        </w:rPr>
        <w:t xml:space="preserve"> och frågor. Samtal om egenvård samt riskfaktorer. </w:t>
      </w:r>
      <w:r w:rsidR="00D5163D">
        <w:rPr>
          <w:rFonts w:ascii="Garamond" w:hAnsi="Garamond"/>
          <w:sz w:val="24"/>
          <w:szCs w:val="24"/>
        </w:rPr>
        <w:t xml:space="preserve">Alla prover i diabetesmallen tas om de inte redan är tagna samt fp-glukos. </w:t>
      </w:r>
      <w:r w:rsidR="0037209C" w:rsidRPr="001C0409">
        <w:rPr>
          <w:rFonts w:ascii="Garamond" w:hAnsi="Garamond"/>
          <w:sz w:val="24"/>
          <w:szCs w:val="24"/>
        </w:rPr>
        <w:t>Uppföljningsbesök bokas</w:t>
      </w:r>
      <w:r w:rsidR="0037209C">
        <w:rPr>
          <w:rFonts w:ascii="Garamond" w:hAnsi="Garamond"/>
          <w:sz w:val="24"/>
          <w:szCs w:val="24"/>
        </w:rPr>
        <w:t xml:space="preserve"> och</w:t>
      </w:r>
      <w:r w:rsidR="0037209C" w:rsidRPr="001C0409">
        <w:rPr>
          <w:rFonts w:ascii="Garamond" w:hAnsi="Garamond"/>
          <w:sz w:val="24"/>
          <w:szCs w:val="24"/>
        </w:rPr>
        <w:t xml:space="preserve"> anpassade till individuella önskemål och behov</w:t>
      </w:r>
      <w:r w:rsidR="00B8172B">
        <w:rPr>
          <w:rFonts w:ascii="Garamond" w:hAnsi="Garamond"/>
          <w:sz w:val="24"/>
          <w:szCs w:val="24"/>
        </w:rPr>
        <w:t xml:space="preserve">. </w:t>
      </w:r>
    </w:p>
    <w:p w:rsidR="00103C98" w:rsidRDefault="00103C98" w:rsidP="0037209C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Kontroller av blodsockret görs med 1-2 års intervall till läkare eller diabetessjuksköterska.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Om patientens värden går över gränsen för diabetes </w:t>
      </w:r>
      <w:r w:rsidR="00CB6F03">
        <w:rPr>
          <w:rFonts w:ascii="Garamond" w:hAnsi="Garamond"/>
          <w:sz w:val="24"/>
          <w:szCs w:val="24"/>
        </w:rPr>
        <w:t xml:space="preserve">sker </w:t>
      </w:r>
      <w:r w:rsidR="003C3244">
        <w:rPr>
          <w:rFonts w:ascii="Garamond" w:hAnsi="Garamond"/>
          <w:sz w:val="24"/>
          <w:szCs w:val="24"/>
        </w:rPr>
        <w:t>uppföljning och diagnos enligt rutin för diabetes</w:t>
      </w:r>
      <w:r>
        <w:rPr>
          <w:rFonts w:ascii="Garamond" w:hAnsi="Garamond"/>
          <w:sz w:val="24"/>
          <w:szCs w:val="24"/>
        </w:rPr>
        <w:t>.</w:t>
      </w:r>
    </w:p>
    <w:p w:rsidR="00103C98" w:rsidRDefault="00103C98" w:rsidP="0037209C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 xml:space="preserve">Provtagning ca 1 vecka innan besöket som utgör underlaget för diskussionen under besöket. </w:t>
      </w:r>
      <w:r>
        <w:rPr>
          <w:rFonts w:ascii="Garamond" w:hAnsi="Garamond"/>
          <w:sz w:val="24"/>
          <w:szCs w:val="24"/>
        </w:rPr>
        <w:t xml:space="preserve">Fasteblodsocker och HbA1c tas vid varje tillfälle för att säkerställa att patienten inte kommit över gränsen för diabetes. </w:t>
      </w:r>
      <w:r w:rsidR="00D5163D">
        <w:rPr>
          <w:rFonts w:ascii="Garamond" w:hAnsi="Garamond"/>
          <w:sz w:val="24"/>
          <w:szCs w:val="24"/>
        </w:rPr>
        <w:t xml:space="preserve">Följande prover kan övervägas om de inte är tagna senaste året; kalium och </w:t>
      </w:r>
      <w:proofErr w:type="spellStart"/>
      <w:r w:rsidR="00D5163D">
        <w:rPr>
          <w:rFonts w:ascii="Garamond" w:hAnsi="Garamond"/>
          <w:sz w:val="24"/>
          <w:szCs w:val="24"/>
        </w:rPr>
        <w:t>kreatinin</w:t>
      </w:r>
      <w:proofErr w:type="spellEnd"/>
      <w:r w:rsidR="00D5163D">
        <w:rPr>
          <w:rFonts w:ascii="Garamond" w:hAnsi="Garamond"/>
          <w:sz w:val="24"/>
          <w:szCs w:val="24"/>
        </w:rPr>
        <w:t xml:space="preserve"> om patienten står på blodtrycksbehandling; lipidstatus om patienten står på statiner, TSH och T4 om patienten står på </w:t>
      </w:r>
      <w:proofErr w:type="spellStart"/>
      <w:r w:rsidR="00D5163D">
        <w:rPr>
          <w:rFonts w:ascii="Garamond" w:hAnsi="Garamond"/>
          <w:sz w:val="24"/>
          <w:szCs w:val="24"/>
        </w:rPr>
        <w:t>Levaxin</w:t>
      </w:r>
      <w:proofErr w:type="spellEnd"/>
      <w:r w:rsidR="00D5163D">
        <w:rPr>
          <w:rFonts w:ascii="Garamond" w:hAnsi="Garamond"/>
          <w:sz w:val="24"/>
          <w:szCs w:val="24"/>
        </w:rPr>
        <w:t xml:space="preserve">. </w:t>
      </w:r>
    </w:p>
    <w:p w:rsidR="0037209C" w:rsidRPr="001C0409" w:rsidRDefault="0037209C" w:rsidP="0037209C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Vid prediabetes skriver man i anteckningsmall NDR men välj ”Inte aktuellt” i listboxen angående NDR. </w:t>
      </w:r>
    </w:p>
    <w:p w:rsidR="001B1BDE" w:rsidRPr="001C0409" w:rsidRDefault="001B1BDE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 xml:space="preserve">Vilka åtgärder som ingår framgår </w:t>
      </w:r>
      <w:r w:rsidR="00A86D2F" w:rsidRPr="001C0409">
        <w:rPr>
          <w:rFonts w:ascii="Garamond" w:hAnsi="Garamond"/>
          <w:sz w:val="24"/>
          <w:szCs w:val="24"/>
        </w:rPr>
        <w:t xml:space="preserve">av </w:t>
      </w:r>
      <w:r w:rsidR="00A86D2F" w:rsidRPr="00745150">
        <w:rPr>
          <w:rFonts w:ascii="Garamond" w:hAnsi="Garamond"/>
          <w:sz w:val="24"/>
          <w:szCs w:val="24"/>
        </w:rPr>
        <w:t>sidan 2-</w:t>
      </w:r>
      <w:r w:rsidR="00FF5A3E" w:rsidRPr="00745150">
        <w:rPr>
          <w:rFonts w:ascii="Garamond" w:hAnsi="Garamond"/>
          <w:sz w:val="24"/>
          <w:szCs w:val="24"/>
        </w:rPr>
        <w:t>3</w:t>
      </w:r>
      <w:r w:rsidR="00291630" w:rsidRPr="001C0409">
        <w:rPr>
          <w:rFonts w:ascii="Garamond" w:hAnsi="Garamond"/>
          <w:sz w:val="24"/>
          <w:szCs w:val="24"/>
        </w:rPr>
        <w:t>.</w:t>
      </w:r>
    </w:p>
    <w:p w:rsidR="00886353" w:rsidRDefault="00A86D2F" w:rsidP="001C0409">
      <w:pPr>
        <w:spacing w:after="120" w:line="240" w:lineRule="auto"/>
      </w:pPr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402"/>
      </w:tblGrid>
      <w:tr w:rsidR="00CB6F03" w:rsidRPr="004B1CA5" w:rsidTr="00CB6F03">
        <w:trPr>
          <w:trHeight w:val="56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F03" w:rsidRPr="004B1CA5" w:rsidRDefault="00CB6F03" w:rsidP="002537CE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bookmarkStart w:id="1" w:name="_Toc524344295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Provtagning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F03" w:rsidRPr="004B1CA5" w:rsidRDefault="00CB6F03" w:rsidP="002537CE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Intervall</w:t>
            </w:r>
          </w:p>
        </w:tc>
      </w:tr>
      <w:bookmarkEnd w:id="1"/>
      <w:tr w:rsidR="00CB6F03" w:rsidTr="00CB6F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f</w:t>
            </w:r>
            <w:r w:rsidRPr="00BD3484">
              <w:rPr>
                <w:rFonts w:cstheme="minorHAnsi"/>
                <w:sz w:val="22"/>
                <w:szCs w:val="22"/>
              </w:rPr>
              <w:t>P</w:t>
            </w:r>
            <w:proofErr w:type="spellEnd"/>
            <w:r w:rsidRPr="00BD3484">
              <w:rPr>
                <w:rFonts w:cstheme="minorHAnsi"/>
                <w:sz w:val="22"/>
                <w:szCs w:val="22"/>
              </w:rPr>
              <w:t>-glukos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03" w:rsidRPr="00BD3484" w:rsidRDefault="00CB6F03" w:rsidP="00BD3484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Vid varje kontroll</w:t>
            </w:r>
          </w:p>
        </w:tc>
      </w:tr>
      <w:tr w:rsidR="00CB6F03" w:rsidTr="00CB6F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CB6F03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HbA1c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CB6F03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Vid varje kontroll</w:t>
            </w:r>
          </w:p>
        </w:tc>
      </w:tr>
    </w:tbl>
    <w:p w:rsidR="004B1CA5" w:rsidRPr="00745150" w:rsidRDefault="004B1CA5" w:rsidP="00745150">
      <w:pPr>
        <w:spacing w:after="0"/>
        <w:rPr>
          <w:sz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402"/>
      </w:tblGrid>
      <w:tr w:rsidR="00CB6F03" w:rsidRPr="004B1CA5" w:rsidTr="00044A58">
        <w:trPr>
          <w:trHeight w:val="56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F03" w:rsidRPr="004B1CA5" w:rsidRDefault="00CB6F03" w:rsidP="00044A58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Provtagning som kan övervägas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F03" w:rsidRPr="004B1CA5" w:rsidRDefault="00CB6F03" w:rsidP="00044A58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Intervall</w:t>
            </w:r>
          </w:p>
        </w:tc>
      </w:tr>
      <w:tr w:rsidR="00CB6F03" w:rsidRPr="00BD3484" w:rsidTr="00044A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Om lågt vid förra kontrollen</w:t>
            </w:r>
          </w:p>
        </w:tc>
      </w:tr>
      <w:tr w:rsidR="00CB6F03" w:rsidRPr="00BD3484" w:rsidTr="00044A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spacing w:after="60" w:line="240" w:lineRule="auto"/>
              <w:rPr>
                <w:rFonts w:cstheme="minorHAnsi"/>
              </w:rPr>
            </w:pPr>
            <w:proofErr w:type="spellStart"/>
            <w:r w:rsidRPr="00BD3484">
              <w:rPr>
                <w:rFonts w:cstheme="minorHAnsi"/>
              </w:rPr>
              <w:t>Kreatinin</w:t>
            </w:r>
            <w:proofErr w:type="spellEnd"/>
            <w:r w:rsidRPr="00BD3484">
              <w:rPr>
                <w:rFonts w:cstheme="minorHAnsi"/>
              </w:rPr>
              <w:t>/GFR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Årligen vid blodtrycksbehandling</w:t>
            </w:r>
          </w:p>
        </w:tc>
      </w:tr>
      <w:tr w:rsidR="00CB6F03" w:rsidTr="00044A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Kalium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Default="00CB6F03" w:rsidP="00044A58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Årligen vid blodtrycksbehandling </w:t>
            </w:r>
          </w:p>
        </w:tc>
      </w:tr>
      <w:tr w:rsidR="00CB6F03" w:rsidTr="00044A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Default="00CB6F03" w:rsidP="00044A58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Default="00CB6F03" w:rsidP="00044A58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Årligen vid statinbehandling</w:t>
            </w:r>
          </w:p>
        </w:tc>
      </w:tr>
      <w:tr w:rsidR="00CB6F03" w:rsidRPr="00BD3484" w:rsidTr="00044A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Lipidstatus: kolesterol, triglycerider, HDL-kolesterol och LDL-kolesterol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Årligen vid statinbehandling</w:t>
            </w:r>
          </w:p>
        </w:tc>
      </w:tr>
      <w:tr w:rsidR="00CB6F03" w:rsidRPr="00BD3484" w:rsidTr="00044A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TSH och T4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Årligen vid </w:t>
            </w:r>
            <w:proofErr w:type="spellStart"/>
            <w:r>
              <w:rPr>
                <w:rFonts w:cstheme="minorHAnsi"/>
              </w:rPr>
              <w:t>levaxinbehandling</w:t>
            </w:r>
            <w:proofErr w:type="spellEnd"/>
          </w:p>
        </w:tc>
      </w:tr>
      <w:tr w:rsidR="00CB6F03" w:rsidRPr="00BD3484" w:rsidTr="00044A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BD3484" w:rsidRDefault="00CB6F03" w:rsidP="00044A58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Albumin/</w:t>
            </w:r>
            <w:proofErr w:type="spellStart"/>
            <w:r w:rsidRPr="00BD3484">
              <w:rPr>
                <w:rFonts w:cstheme="minorHAnsi"/>
              </w:rPr>
              <w:t>kreatinin</w:t>
            </w:r>
            <w:proofErr w:type="spellEnd"/>
            <w:r w:rsidRPr="00BD3484">
              <w:rPr>
                <w:rFonts w:cstheme="minorHAnsi"/>
              </w:rPr>
              <w:t xml:space="preserve"> kvot. Morgonurin. Vid positivt prov &gt;3 utföres ytterligare 2 kontroller inom 6-8 månader </w:t>
            </w:r>
          </w:p>
          <w:p w:rsidR="00CB6F03" w:rsidRPr="00BD3484" w:rsidRDefault="00CB6F03" w:rsidP="00044A58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2 prov &gt;3 innan diagnos ställs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3" w:rsidRPr="00265A63" w:rsidRDefault="00CB6F03" w:rsidP="00044A58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  <w:highlight w:val="green"/>
              </w:rPr>
            </w:pPr>
            <w:r w:rsidRPr="00265A63">
              <w:rPr>
                <w:rFonts w:cstheme="minorHAnsi"/>
                <w:sz w:val="22"/>
                <w:szCs w:val="22"/>
              </w:rPr>
              <w:t xml:space="preserve">Vid </w:t>
            </w:r>
            <w:r w:rsidRPr="00623F60">
              <w:rPr>
                <w:rFonts w:cstheme="minorHAnsi"/>
                <w:sz w:val="22"/>
                <w:szCs w:val="22"/>
              </w:rPr>
              <w:t xml:space="preserve">nyupptäckt </w:t>
            </w:r>
            <w:proofErr w:type="spellStart"/>
            <w:r w:rsidRPr="00623F60">
              <w:rPr>
                <w:rFonts w:cstheme="minorHAnsi"/>
                <w:sz w:val="22"/>
                <w:szCs w:val="22"/>
              </w:rPr>
              <w:t>prediab</w:t>
            </w:r>
            <w:proofErr w:type="spellEnd"/>
            <w:r w:rsidRPr="00623F60">
              <w:rPr>
                <w:rFonts w:cstheme="minorHAnsi"/>
                <w:sz w:val="22"/>
                <w:szCs w:val="22"/>
              </w:rPr>
              <w:t xml:space="preserve"> samt </w:t>
            </w:r>
            <w:proofErr w:type="spellStart"/>
            <w:r w:rsidRPr="00623F60">
              <w:rPr>
                <w:rFonts w:cstheme="minorHAnsi"/>
                <w:sz w:val="22"/>
                <w:szCs w:val="22"/>
              </w:rPr>
              <w:t>vb</w:t>
            </w:r>
            <w:proofErr w:type="spellEnd"/>
          </w:p>
          <w:p w:rsidR="00CB6F03" w:rsidRPr="00BD3484" w:rsidRDefault="00CB6F03" w:rsidP="00044A58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</w:tr>
    </w:tbl>
    <w:p w:rsidR="00CB6F03" w:rsidRPr="00745150" w:rsidRDefault="00CB6F03" w:rsidP="00745150">
      <w:pPr>
        <w:spacing w:after="0"/>
        <w:rPr>
          <w:sz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3402"/>
      </w:tblGrid>
      <w:tr w:rsidR="00FF5A3E" w:rsidRPr="004B1CA5" w:rsidTr="008A1F5B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5A3E" w:rsidRPr="004B1CA5" w:rsidRDefault="00FF5A3E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Undersökning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5A3E" w:rsidRPr="004B1CA5" w:rsidRDefault="00FF5A3E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Mål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5A3E" w:rsidRPr="004B1CA5" w:rsidRDefault="00FF5A3E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Intervall</w:t>
            </w:r>
          </w:p>
        </w:tc>
      </w:tr>
      <w:tr w:rsidR="00FF5A3E" w:rsidRPr="00E732A8" w:rsidTr="008A1F5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Blodtryck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&lt;140/85 &gt;65år</w:t>
            </w:r>
          </w:p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&lt;130/80 &lt;65år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Vid kontroll</w:t>
            </w:r>
          </w:p>
        </w:tc>
      </w:tr>
      <w:tr w:rsidR="00FF5A3E" w:rsidRPr="00E732A8" w:rsidTr="008A1F5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Vikt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Vid kontroll</w:t>
            </w:r>
          </w:p>
        </w:tc>
      </w:tr>
      <w:tr w:rsidR="00FF5A3E" w:rsidRPr="00E732A8" w:rsidTr="008A1F5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BMI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18,5-24,9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Vid kontroll</w:t>
            </w:r>
          </w:p>
        </w:tc>
      </w:tr>
    </w:tbl>
    <w:p w:rsidR="00CE7B06" w:rsidRPr="00745150" w:rsidRDefault="00CE7B06" w:rsidP="00745150">
      <w:pPr>
        <w:pStyle w:val="Sidhuvud"/>
        <w:tabs>
          <w:tab w:val="left" w:pos="1304"/>
        </w:tabs>
        <w:rPr>
          <w:sz w:val="18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D41F28" w:rsidRPr="004F3FFF" w:rsidTr="00D41F28">
        <w:trPr>
          <w:cantSplit/>
          <w:trHeight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F28" w:rsidRPr="004B1CA5" w:rsidRDefault="00D41F28" w:rsidP="00E732A8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Information/undervisning</w:t>
            </w:r>
          </w:p>
        </w:tc>
      </w:tr>
      <w:tr w:rsidR="00D41F28" w:rsidTr="00D41F28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04123B" w:rsidRDefault="00D41F28" w:rsidP="004B1CA5">
            <w:pPr>
              <w:spacing w:after="60"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Informera om diabetessjukdomen</w:t>
            </w:r>
          </w:p>
        </w:tc>
      </w:tr>
      <w:tr w:rsidR="00D41F28" w:rsidTr="00D41F28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4B1CA5">
            <w:pPr>
              <w:spacing w:after="60" w:line="240" w:lineRule="auto"/>
              <w:rPr>
                <w:rFonts w:cstheme="majorHAnsi"/>
              </w:rPr>
            </w:pPr>
            <w:r w:rsidRPr="00665875">
              <w:t>Individuellt anpassad kostrådgivning med utgångspunkt från hälsostatus, andra sjukdomar, livsstil, kultur och hur personen äter före diabetesdiagnos</w:t>
            </w:r>
          </w:p>
        </w:tc>
      </w:tr>
      <w:tr w:rsidR="00D41F28" w:rsidTr="00D41F28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665875" w:rsidRDefault="00D41F28" w:rsidP="004B1CA5">
            <w:pPr>
              <w:spacing w:after="60" w:line="240" w:lineRule="auto"/>
            </w:pPr>
            <w:r>
              <w:rPr>
                <w:rFonts w:cstheme="majorHAnsi"/>
              </w:rPr>
              <w:t>Informera om betydelsen av fysisk aktivitet och inverkan på blodsockret samt ge individuellt anpassade råd</w:t>
            </w:r>
          </w:p>
        </w:tc>
      </w:tr>
      <w:tr w:rsidR="00D41F28" w:rsidTr="00D41F28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04123B" w:rsidRDefault="00D41F28" w:rsidP="004B1CA5">
            <w:pPr>
              <w:spacing w:after="60"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Tobakens inverkan på blodsocker, erbjud hjälp med tobaksavvänjning vid behov</w:t>
            </w:r>
          </w:p>
        </w:tc>
      </w:tr>
      <w:tr w:rsidR="00D41F28" w:rsidRPr="0004123B" w:rsidTr="00D41F28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04123B" w:rsidRDefault="00D41F28" w:rsidP="004B1CA5">
            <w:pPr>
              <w:spacing w:after="60" w:line="240" w:lineRule="auto"/>
              <w:rPr>
                <w:rFonts w:cstheme="majorHAnsi"/>
              </w:rPr>
            </w:pPr>
            <w:r w:rsidRPr="00BB2E9E">
              <w:rPr>
                <w:szCs w:val="20"/>
              </w:rPr>
              <w:t xml:space="preserve">Informera om munhälsans betydelse för </w:t>
            </w:r>
            <w:r>
              <w:rPr>
                <w:szCs w:val="20"/>
              </w:rPr>
              <w:t xml:space="preserve">god </w:t>
            </w:r>
            <w:r w:rsidRPr="00BB2E9E">
              <w:rPr>
                <w:szCs w:val="20"/>
              </w:rPr>
              <w:t xml:space="preserve">blodsockerkontroll och omvänt blodsockrets betydelse för </w:t>
            </w:r>
            <w:r>
              <w:rPr>
                <w:szCs w:val="20"/>
              </w:rPr>
              <w:t xml:space="preserve">god </w:t>
            </w:r>
            <w:r w:rsidRPr="00BB2E9E">
              <w:rPr>
                <w:szCs w:val="20"/>
              </w:rPr>
              <w:t>munhälsa</w:t>
            </w:r>
          </w:p>
        </w:tc>
      </w:tr>
      <w:tr w:rsidR="00D41F28" w:rsidRPr="0004123B" w:rsidTr="00D41F28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623F60" w:rsidRDefault="00D41F28" w:rsidP="004B1CA5">
            <w:pPr>
              <w:spacing w:after="60" w:line="240" w:lineRule="auto"/>
              <w:rPr>
                <w:rFonts w:cstheme="majorHAnsi"/>
              </w:rPr>
            </w:pPr>
            <w:r w:rsidRPr="00623F60">
              <w:rPr>
                <w:rFonts w:cstheme="majorHAnsi"/>
              </w:rPr>
              <w:t>Psykiskt mående och hur det påverkar blodsockret</w:t>
            </w:r>
          </w:p>
        </w:tc>
      </w:tr>
      <w:tr w:rsidR="00D41F28" w:rsidRPr="0004123B" w:rsidTr="00D41F28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623F60" w:rsidRDefault="00D41F28" w:rsidP="004B1CA5">
            <w:pPr>
              <w:spacing w:after="60" w:line="240" w:lineRule="auto"/>
              <w:rPr>
                <w:rFonts w:cstheme="majorHAnsi"/>
              </w:rPr>
            </w:pPr>
            <w:r w:rsidRPr="00623F60">
              <w:rPr>
                <w:rFonts w:cstheme="majorHAnsi"/>
              </w:rPr>
              <w:t xml:space="preserve">Sömn </w:t>
            </w:r>
          </w:p>
        </w:tc>
      </w:tr>
      <w:tr w:rsidR="00D41F28" w:rsidRPr="0004123B" w:rsidTr="00D41F28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265A63" w:rsidRDefault="00D41F28" w:rsidP="004B1CA5">
            <w:pPr>
              <w:spacing w:after="60" w:line="240" w:lineRule="auto"/>
              <w:rPr>
                <w:rFonts w:cstheme="majorHAnsi"/>
                <w:highlight w:val="green"/>
              </w:rPr>
            </w:pPr>
            <w:r w:rsidRPr="00623F60">
              <w:rPr>
                <w:rFonts w:cstheme="majorHAnsi"/>
              </w:rPr>
              <w:lastRenderedPageBreak/>
              <w:t>Sexuell funktion, information kring blodsockrets påverkan för män och kvinnor gällande den sexuella funktionen</w:t>
            </w:r>
          </w:p>
        </w:tc>
      </w:tr>
    </w:tbl>
    <w:p w:rsidR="00CE7B06" w:rsidRPr="00745150" w:rsidRDefault="00CE7B06" w:rsidP="00745150">
      <w:pPr>
        <w:pStyle w:val="Sidhuvud"/>
        <w:tabs>
          <w:tab w:val="left" w:pos="1304"/>
        </w:tabs>
        <w:rPr>
          <w:sz w:val="18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FF5A3E" w:rsidTr="00FF5A3E">
        <w:trPr>
          <w:trHeight w:val="54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5A3E" w:rsidRPr="004B1CA5" w:rsidRDefault="00FF5A3E" w:rsidP="00E732A8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Övrigt</w:t>
            </w:r>
          </w:p>
        </w:tc>
      </w:tr>
      <w:tr w:rsidR="00FF5A3E" w:rsidTr="00FF5A3E">
        <w:trPr>
          <w:trHeight w:val="54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Pr="00E732A8" w:rsidRDefault="00FF5A3E" w:rsidP="004B1CA5">
            <w:pPr>
              <w:spacing w:after="60" w:line="240" w:lineRule="auto"/>
            </w:pPr>
            <w:r w:rsidRPr="00E732A8">
              <w:t>Remiss till dietist vid behov</w:t>
            </w:r>
          </w:p>
        </w:tc>
      </w:tr>
      <w:tr w:rsidR="00FF5A3E" w:rsidTr="00FF5A3E">
        <w:trPr>
          <w:trHeight w:val="54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A3E" w:rsidRPr="00E732A8" w:rsidRDefault="00FF5A3E" w:rsidP="004B1CA5">
            <w:pPr>
              <w:spacing w:after="60" w:line="240" w:lineRule="auto"/>
            </w:pPr>
            <w:r w:rsidRPr="00E732A8">
              <w:t xml:space="preserve">Remiss fysisk aktivitet på recept </w:t>
            </w:r>
            <w:proofErr w:type="spellStart"/>
            <w:r w:rsidRPr="00E732A8">
              <w:t>FaR</w:t>
            </w:r>
            <w:proofErr w:type="spellEnd"/>
            <w:r w:rsidRPr="00E732A8">
              <w:t xml:space="preserve"> vid behov</w:t>
            </w:r>
          </w:p>
        </w:tc>
      </w:tr>
    </w:tbl>
    <w:p w:rsidR="00291630" w:rsidRDefault="00291630" w:rsidP="004B1CA5">
      <w:pPr>
        <w:spacing w:after="6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D6DF8" w:rsidRPr="00E732A8" w:rsidRDefault="00AD6DF8" w:rsidP="001C040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E732A8">
        <w:rPr>
          <w:rFonts w:ascii="Arial" w:hAnsi="Arial" w:cs="Arial"/>
          <w:b/>
          <w:sz w:val="28"/>
          <w:szCs w:val="28"/>
        </w:rPr>
        <w:lastRenderedPageBreak/>
        <w:t>Länkar att fördjupa sig i</w:t>
      </w:r>
    </w:p>
    <w:p w:rsidR="00C75B8F" w:rsidRPr="00E732A8" w:rsidRDefault="00C75B8F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p w:rsidR="00E732A8" w:rsidRDefault="00A86D2F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  <w:r w:rsidRPr="00E732A8">
        <w:rPr>
          <w:rFonts w:ascii="Garamond" w:hAnsi="Garamond"/>
        </w:rPr>
        <w:t xml:space="preserve">Medicinska riktlinjer i </w:t>
      </w:r>
      <w:r w:rsidR="00E732A8">
        <w:rPr>
          <w:rFonts w:ascii="Garamond" w:hAnsi="Garamond"/>
        </w:rPr>
        <w:t>K</w:t>
      </w:r>
      <w:r w:rsidRPr="00E732A8">
        <w:rPr>
          <w:rFonts w:ascii="Garamond" w:hAnsi="Garamond"/>
        </w:rPr>
        <w:t>ronoberg</w:t>
      </w:r>
    </w:p>
    <w:p w:rsidR="00DE4A3F" w:rsidRPr="00623F60" w:rsidRDefault="003B08BE" w:rsidP="00E732A8">
      <w:pPr>
        <w:pStyle w:val="Sidhuvud"/>
        <w:tabs>
          <w:tab w:val="left" w:pos="1304"/>
        </w:tabs>
        <w:spacing w:after="60"/>
        <w:rPr>
          <w:rFonts w:ascii="Garamond" w:hAnsi="Garamond"/>
          <w:color w:val="0563C1" w:themeColor="hyperlink"/>
          <w:u w:val="single"/>
        </w:rPr>
      </w:pPr>
      <w:hyperlink r:id="rId8" w:anchor="tab-7752" w:history="1">
        <w:r w:rsidR="00A86D2F" w:rsidRPr="00E732A8">
          <w:rPr>
            <w:rStyle w:val="Hyperlnk"/>
            <w:rFonts w:ascii="Garamond" w:hAnsi="Garamond"/>
          </w:rPr>
          <w:t>Vårdgivarwebben - Endokrin och diabetes (regionkronoberg.se)</w:t>
        </w:r>
      </w:hyperlink>
    </w:p>
    <w:p w:rsidR="0062440D" w:rsidRDefault="0062440D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p w:rsidR="001E1656" w:rsidRDefault="001E1656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  <w:r>
        <w:rPr>
          <w:rFonts w:ascii="Garamond" w:hAnsi="Garamond"/>
        </w:rPr>
        <w:t>Nationellt kliniskt kunskapsstöd Vårdprogram Levnadsvanor</w:t>
      </w:r>
    </w:p>
    <w:p w:rsidR="001E1656" w:rsidRDefault="003B08BE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  <w:hyperlink r:id="rId9" w:history="1">
        <w:r w:rsidR="001E1656" w:rsidRPr="00A70E58">
          <w:rPr>
            <w:rStyle w:val="Hyperlnk"/>
            <w:rFonts w:ascii="Garamond" w:hAnsi="Garamond"/>
          </w:rPr>
          <w:t>https://d2flujgsl7escs.cloudfront.net/external/Nationellt-vardprogram-vid-ohalsosamma-levnadsvanor-prevention-och-behandling.pdf</w:t>
        </w:r>
      </w:hyperlink>
    </w:p>
    <w:p w:rsidR="001E1656" w:rsidRPr="00E732A8" w:rsidRDefault="001E1656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sectPr w:rsidR="001E1656" w:rsidRPr="00E732A8" w:rsidSect="000847FC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BE" w:rsidRDefault="003B08BE" w:rsidP="001C0409">
      <w:pPr>
        <w:spacing w:after="0" w:line="240" w:lineRule="auto"/>
      </w:pPr>
      <w:r>
        <w:separator/>
      </w:r>
    </w:p>
  </w:endnote>
  <w:endnote w:type="continuationSeparator" w:id="0">
    <w:p w:rsidR="003B08BE" w:rsidRDefault="003B08BE" w:rsidP="001C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BE" w:rsidRDefault="003B08BE" w:rsidP="001C0409">
      <w:pPr>
        <w:spacing w:after="0" w:line="240" w:lineRule="auto"/>
      </w:pPr>
      <w:r>
        <w:separator/>
      </w:r>
    </w:p>
  </w:footnote>
  <w:footnote w:type="continuationSeparator" w:id="0">
    <w:p w:rsidR="003B08BE" w:rsidRDefault="003B08BE" w:rsidP="001C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409" w:rsidRPr="001C0409" w:rsidRDefault="001C0409">
    <w:pPr>
      <w:pStyle w:val="Sidhuvud"/>
      <w:rPr>
        <w:rFonts w:ascii="Arial" w:hAnsi="Arial" w:cs="Arial"/>
        <w:sz w:val="20"/>
        <w:szCs w:val="20"/>
      </w:rPr>
    </w:pPr>
  </w:p>
  <w:tbl>
    <w:tblPr>
      <w:tblStyle w:val="Tabellrutnt"/>
      <w:tblpPr w:leftFromText="141" w:rightFromText="141" w:horzAnchor="margin" w:tblpX="1129" w:tblpY="-1826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  <w:gridCol w:w="845"/>
    </w:tblGrid>
    <w:tr w:rsidR="001C0409" w:rsidRPr="001C0409" w:rsidTr="001C0409">
      <w:trPr>
        <w:gridAfter w:val="1"/>
        <w:wAfter w:w="845" w:type="dxa"/>
        <w:trHeight w:hRule="exact" w:val="794"/>
      </w:trPr>
      <w:sdt>
        <w:sdtPr>
          <w:rPr>
            <w:rFonts w:ascii="Arial" w:hAnsi="Arial" w:cs="Arial"/>
            <w:sz w:val="20"/>
            <w:szCs w:val="20"/>
          </w:rPr>
          <w:alias w:val="Publiceringsdatum"/>
          <w:tag w:val=""/>
          <w:id w:val="1617105077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2-04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:rsidR="001C0409" w:rsidRPr="001C0409" w:rsidRDefault="001C0409" w:rsidP="001C0409">
              <w:pPr>
                <w:pStyle w:val="Sidhuvud"/>
                <w:rPr>
                  <w:rFonts w:ascii="Arial" w:hAnsi="Arial" w:cs="Arial"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p>
          </w:tc>
        </w:sdtContent>
      </w:sdt>
    </w:tr>
    <w:tr w:rsidR="001C0409" w:rsidRPr="001C0409" w:rsidTr="001C0409">
      <w:trPr>
        <w:trHeight w:hRule="exact" w:val="329"/>
      </w:trPr>
      <w:sdt>
        <w:sdtPr>
          <w:rPr>
            <w:rFonts w:ascii="Arial" w:hAnsi="Arial" w:cs="Arial"/>
            <w:b/>
            <w:bCs/>
            <w:sz w:val="20"/>
            <w:szCs w:val="20"/>
          </w:rPr>
          <w:id w:val="-1769158054"/>
          <w:text/>
        </w:sdtPr>
        <w:sdtEndPr/>
        <w:sdtContent>
          <w:tc>
            <w:tcPr>
              <w:tcW w:w="8222" w:type="dxa"/>
              <w:gridSpan w:val="2"/>
            </w:tcPr>
            <w:p w:rsidR="001C0409" w:rsidRPr="001C0409" w:rsidRDefault="001C0409" w:rsidP="001C0409">
              <w:pPr>
                <w:pStyle w:val="Sidhuvud"/>
                <w:jc w:val="right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b/>
                  <w:bCs/>
                  <w:sz w:val="20"/>
                  <w:szCs w:val="20"/>
                </w:rPr>
                <w:t>Allmänmedicinskt Kunskapscentrum</w:t>
              </w:r>
            </w:p>
          </w:tc>
        </w:sdtContent>
      </w:sdt>
    </w:tr>
    <w:tr w:rsidR="001C0409" w:rsidRPr="001C0409" w:rsidTr="001C0409">
      <w:trPr>
        <w:trHeight w:hRule="exact" w:val="329"/>
      </w:trPr>
      <w:sdt>
        <w:sdtPr>
          <w:rPr>
            <w:rFonts w:ascii="Arial" w:hAnsi="Arial" w:cs="Arial"/>
            <w:sz w:val="20"/>
            <w:szCs w:val="20"/>
          </w:rPr>
          <w:alias w:val="Namn"/>
          <w:tag w:val="Namn"/>
          <w:id w:val="-875158093"/>
          <w:text/>
        </w:sdtPr>
        <w:sdtEndPr/>
        <w:sdtContent>
          <w:tc>
            <w:tcPr>
              <w:tcW w:w="8222" w:type="dxa"/>
              <w:gridSpan w:val="2"/>
            </w:tcPr>
            <w:p w:rsidR="001C0409" w:rsidRPr="001C0409" w:rsidRDefault="001C0409" w:rsidP="001C0409">
              <w:pPr>
                <w:pStyle w:val="Sidhuvud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sz w:val="20"/>
                  <w:szCs w:val="20"/>
                </w:rPr>
                <w:t>Cecilia Andersen</w:t>
              </w:r>
            </w:p>
          </w:tc>
        </w:sdtContent>
      </w:sdt>
    </w:tr>
    <w:tr w:rsidR="001C0409" w:rsidRPr="001C0409" w:rsidTr="001C0409">
      <w:trPr>
        <w:trHeight w:hRule="exact" w:val="318"/>
      </w:trPr>
      <w:tc>
        <w:tcPr>
          <w:tcW w:w="8222" w:type="dxa"/>
          <w:gridSpan w:val="2"/>
        </w:tcPr>
        <w:p w:rsidR="001C0409" w:rsidRPr="001C0409" w:rsidRDefault="003B08BE" w:rsidP="001C0409">
          <w:pPr>
            <w:pStyle w:val="Sidhuvud"/>
            <w:jc w:val="right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902285347"/>
              <w:text/>
            </w:sdtPr>
            <w:sdtEndPr/>
            <w:sdtContent>
              <w:proofErr w:type="gramStart"/>
              <w:r w:rsidR="001C0409" w:rsidRPr="001C0409">
                <w:rPr>
                  <w:rFonts w:ascii="Arial" w:hAnsi="Arial" w:cs="Arial"/>
                  <w:sz w:val="20"/>
                  <w:szCs w:val="20"/>
                </w:rPr>
                <w:t>cecilia.andersen</w:t>
              </w:r>
              <w:proofErr w:type="gramEnd"/>
            </w:sdtContent>
          </w:sdt>
          <w:r w:rsidR="001C0409" w:rsidRPr="001C0409">
            <w:rPr>
              <w:rFonts w:ascii="Arial" w:hAnsi="Arial" w:cs="Arial"/>
              <w:sz w:val="20"/>
              <w:szCs w:val="20"/>
            </w:rPr>
            <w:t>@kronoberg.se</w:t>
          </w:r>
        </w:p>
      </w:tc>
    </w:tr>
  </w:tbl>
  <w:p w:rsidR="001C0409" w:rsidRPr="001C0409" w:rsidRDefault="001C0409" w:rsidP="001C0409">
    <w:pPr>
      <w:pStyle w:val="Sidhuvud"/>
      <w:spacing w:after="2640"/>
      <w:rPr>
        <w:rFonts w:ascii="Arial" w:hAnsi="Arial" w:cs="Arial"/>
        <w:sz w:val="20"/>
        <w:szCs w:val="20"/>
      </w:rPr>
    </w:pPr>
    <w:r w:rsidRPr="001C040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73073DA" wp14:editId="48D94EA8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F1517" id="Rak koppling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1C040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1" layoutInCell="1" allowOverlap="1" wp14:anchorId="53AB626A" wp14:editId="70EB5F1C">
          <wp:simplePos x="0" y="0"/>
          <wp:positionH relativeFrom="page">
            <wp:posOffset>736600</wp:posOffset>
          </wp:positionH>
          <wp:positionV relativeFrom="page">
            <wp:posOffset>384175</wp:posOffset>
          </wp:positionV>
          <wp:extent cx="834390" cy="984250"/>
          <wp:effectExtent l="0" t="0" r="3810" b="6350"/>
          <wp:wrapNone/>
          <wp:docPr id="361" name="Bildobjekt 3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6A97"/>
    <w:multiLevelType w:val="hybridMultilevel"/>
    <w:tmpl w:val="D24C56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46C6"/>
    <w:multiLevelType w:val="hybridMultilevel"/>
    <w:tmpl w:val="B37C0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36B3"/>
    <w:multiLevelType w:val="hybridMultilevel"/>
    <w:tmpl w:val="0A50DD8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5477"/>
    <w:multiLevelType w:val="hybridMultilevel"/>
    <w:tmpl w:val="1F4ABF4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7FDD"/>
    <w:multiLevelType w:val="hybridMultilevel"/>
    <w:tmpl w:val="94B8C582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84918"/>
    <w:multiLevelType w:val="hybridMultilevel"/>
    <w:tmpl w:val="E65864C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85365"/>
    <w:multiLevelType w:val="hybridMultilevel"/>
    <w:tmpl w:val="36D4B70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4EE1"/>
    <w:multiLevelType w:val="hybridMultilevel"/>
    <w:tmpl w:val="9A2AE9E4"/>
    <w:lvl w:ilvl="0" w:tplc="316C5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0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6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0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0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4B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5535CE"/>
    <w:multiLevelType w:val="hybridMultilevel"/>
    <w:tmpl w:val="CE566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6965"/>
    <w:multiLevelType w:val="hybridMultilevel"/>
    <w:tmpl w:val="EFB0EB0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3"/>
    <w:rsid w:val="00027273"/>
    <w:rsid w:val="0004123B"/>
    <w:rsid w:val="00081222"/>
    <w:rsid w:val="000820DB"/>
    <w:rsid w:val="000847FC"/>
    <w:rsid w:val="000B24D1"/>
    <w:rsid w:val="000C4A0C"/>
    <w:rsid w:val="000C6A2C"/>
    <w:rsid w:val="00103C98"/>
    <w:rsid w:val="00154D11"/>
    <w:rsid w:val="0019395B"/>
    <w:rsid w:val="001B1BDE"/>
    <w:rsid w:val="001B242F"/>
    <w:rsid w:val="001C0409"/>
    <w:rsid w:val="001C7327"/>
    <w:rsid w:val="001D2DE2"/>
    <w:rsid w:val="001D7C0B"/>
    <w:rsid w:val="001E1656"/>
    <w:rsid w:val="00211469"/>
    <w:rsid w:val="002166E8"/>
    <w:rsid w:val="0022692F"/>
    <w:rsid w:val="00264C1D"/>
    <w:rsid w:val="00265A63"/>
    <w:rsid w:val="00273C01"/>
    <w:rsid w:val="00291630"/>
    <w:rsid w:val="00291E1D"/>
    <w:rsid w:val="0029758C"/>
    <w:rsid w:val="002B76C2"/>
    <w:rsid w:val="002D6105"/>
    <w:rsid w:val="00310618"/>
    <w:rsid w:val="003133A0"/>
    <w:rsid w:val="00335584"/>
    <w:rsid w:val="0037209C"/>
    <w:rsid w:val="003B08BE"/>
    <w:rsid w:val="003B17E6"/>
    <w:rsid w:val="003C3244"/>
    <w:rsid w:val="003C5F1E"/>
    <w:rsid w:val="00423984"/>
    <w:rsid w:val="004674D5"/>
    <w:rsid w:val="004B1CA5"/>
    <w:rsid w:val="004C344B"/>
    <w:rsid w:val="004E30C2"/>
    <w:rsid w:val="004F3FFF"/>
    <w:rsid w:val="00502730"/>
    <w:rsid w:val="00573DAD"/>
    <w:rsid w:val="005C24D7"/>
    <w:rsid w:val="005D7D43"/>
    <w:rsid w:val="005F7EA7"/>
    <w:rsid w:val="00612443"/>
    <w:rsid w:val="00623F60"/>
    <w:rsid w:val="0062440D"/>
    <w:rsid w:val="006528DC"/>
    <w:rsid w:val="00654579"/>
    <w:rsid w:val="0069579F"/>
    <w:rsid w:val="00695C41"/>
    <w:rsid w:val="006A4D51"/>
    <w:rsid w:val="006D62A8"/>
    <w:rsid w:val="006D783F"/>
    <w:rsid w:val="006F14A6"/>
    <w:rsid w:val="00700EC0"/>
    <w:rsid w:val="007159EE"/>
    <w:rsid w:val="00731603"/>
    <w:rsid w:val="007349A8"/>
    <w:rsid w:val="00737505"/>
    <w:rsid w:val="00745150"/>
    <w:rsid w:val="007B0A70"/>
    <w:rsid w:val="007B1D16"/>
    <w:rsid w:val="007E0448"/>
    <w:rsid w:val="007F7D6D"/>
    <w:rsid w:val="00836EB0"/>
    <w:rsid w:val="00863357"/>
    <w:rsid w:val="00886353"/>
    <w:rsid w:val="00897FA3"/>
    <w:rsid w:val="008A1F5B"/>
    <w:rsid w:val="008B35A0"/>
    <w:rsid w:val="008C7E26"/>
    <w:rsid w:val="009119C6"/>
    <w:rsid w:val="00941031"/>
    <w:rsid w:val="00962E68"/>
    <w:rsid w:val="00975100"/>
    <w:rsid w:val="00985CB5"/>
    <w:rsid w:val="00986F16"/>
    <w:rsid w:val="009B7A59"/>
    <w:rsid w:val="009C2DE8"/>
    <w:rsid w:val="009D14C4"/>
    <w:rsid w:val="009D3257"/>
    <w:rsid w:val="009E69C4"/>
    <w:rsid w:val="00A86D2F"/>
    <w:rsid w:val="00A91003"/>
    <w:rsid w:val="00AA60AD"/>
    <w:rsid w:val="00AA6E10"/>
    <w:rsid w:val="00AB655B"/>
    <w:rsid w:val="00AD6DF8"/>
    <w:rsid w:val="00AE41D8"/>
    <w:rsid w:val="00B230BC"/>
    <w:rsid w:val="00B25F9A"/>
    <w:rsid w:val="00B3071A"/>
    <w:rsid w:val="00B327E6"/>
    <w:rsid w:val="00B33F36"/>
    <w:rsid w:val="00B7164D"/>
    <w:rsid w:val="00B807C2"/>
    <w:rsid w:val="00B8172B"/>
    <w:rsid w:val="00B85663"/>
    <w:rsid w:val="00B934AF"/>
    <w:rsid w:val="00BA08F0"/>
    <w:rsid w:val="00BD0510"/>
    <w:rsid w:val="00BD3484"/>
    <w:rsid w:val="00BF7D37"/>
    <w:rsid w:val="00C00B4F"/>
    <w:rsid w:val="00C75B8F"/>
    <w:rsid w:val="00C82E3D"/>
    <w:rsid w:val="00CA06AB"/>
    <w:rsid w:val="00CB2513"/>
    <w:rsid w:val="00CB6F03"/>
    <w:rsid w:val="00CC6D75"/>
    <w:rsid w:val="00CD100B"/>
    <w:rsid w:val="00CE1112"/>
    <w:rsid w:val="00CE7B06"/>
    <w:rsid w:val="00CF50B1"/>
    <w:rsid w:val="00D21463"/>
    <w:rsid w:val="00D41F28"/>
    <w:rsid w:val="00D47F10"/>
    <w:rsid w:val="00D5163D"/>
    <w:rsid w:val="00D77EA4"/>
    <w:rsid w:val="00D94BEC"/>
    <w:rsid w:val="00DA03EE"/>
    <w:rsid w:val="00DA3D08"/>
    <w:rsid w:val="00DC0B1B"/>
    <w:rsid w:val="00DC70DC"/>
    <w:rsid w:val="00DD6FAB"/>
    <w:rsid w:val="00DE4A3F"/>
    <w:rsid w:val="00E4562C"/>
    <w:rsid w:val="00E732A8"/>
    <w:rsid w:val="00EF52CC"/>
    <w:rsid w:val="00EF72CE"/>
    <w:rsid w:val="00F174F0"/>
    <w:rsid w:val="00F443F4"/>
    <w:rsid w:val="00F8191D"/>
    <w:rsid w:val="00FA4D90"/>
    <w:rsid w:val="00FE7DBF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74F4B-C9DD-4884-A28F-034EF67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886353"/>
    <w:pPr>
      <w:keepNext/>
      <w:keepLines/>
      <w:pBdr>
        <w:bottom w:val="single" w:sz="12" w:space="1" w:color="4472C4" w:themeColor="accent1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6D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CC6D75"/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CC6D75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86353"/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BD0510"/>
    <w:pPr>
      <w:spacing w:line="276" w:lineRule="auto"/>
      <w:ind w:left="1287" w:hanging="360"/>
      <w:contextualSpacing/>
    </w:pPr>
    <w:rPr>
      <w:rFonts w:eastAsiaTheme="minorEastAsia"/>
      <w:sz w:val="24"/>
      <w:szCs w:val="24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4F3FFF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3F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CA06AB"/>
    <w:rPr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1C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409"/>
  </w:style>
  <w:style w:type="table" w:styleId="Tabellrutnt">
    <w:name w:val="Table Grid"/>
    <w:basedOn w:val="Normaltabell"/>
    <w:uiPriority w:val="39"/>
    <w:rsid w:val="001C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kronoberg.se/vardgivare/vardriktlinjer/medicinska-riktlinjer/endokrin-och-diabe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2flujgsl7escs.cloudfront.net/external/Nationellt-vardprogram-vid-ohalsosamma-levnadsvanor-prevention-och-behandl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5868-D5AE-4FB2-AD42-0E4456F0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631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Cecilia PVR vc Centrum</dc:creator>
  <cp:keywords/>
  <dc:description/>
  <cp:lastModifiedBy>Andersen Cecilia HSJ samordningsenheten</cp:lastModifiedBy>
  <cp:revision>19</cp:revision>
  <dcterms:created xsi:type="dcterms:W3CDTF">2022-04-07T09:34:00Z</dcterms:created>
  <dcterms:modified xsi:type="dcterms:W3CDTF">2025-02-07T11:16:00Z</dcterms:modified>
</cp:coreProperties>
</file>